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0922" w14:textId="77777777" w:rsidR="00496FF8" w:rsidRPr="00496FF8" w:rsidRDefault="00496FF8" w:rsidP="00496FF8">
      <w:pPr>
        <w:spacing w:after="0"/>
        <w:rPr>
          <w:rFonts w:cs="Arial"/>
          <w:sz w:val="20"/>
          <w:szCs w:val="20"/>
        </w:rPr>
      </w:pPr>
      <w:r w:rsidRPr="00496FF8">
        <w:rPr>
          <w:rFonts w:cs="Arial"/>
          <w:sz w:val="20"/>
          <w:szCs w:val="20"/>
        </w:rPr>
        <w:t>SASFIN HOLDINGS LIMITED</w:t>
      </w:r>
    </w:p>
    <w:p w14:paraId="27D718C6" w14:textId="77777777" w:rsidR="00496FF8" w:rsidRPr="00496FF8" w:rsidRDefault="00496FF8" w:rsidP="00496FF8">
      <w:pPr>
        <w:spacing w:after="0"/>
        <w:rPr>
          <w:rFonts w:cs="Arial"/>
          <w:sz w:val="20"/>
          <w:szCs w:val="20"/>
        </w:rPr>
      </w:pPr>
      <w:r w:rsidRPr="00496FF8">
        <w:rPr>
          <w:rFonts w:cs="Arial"/>
          <w:sz w:val="20"/>
          <w:szCs w:val="20"/>
        </w:rPr>
        <w:t>(Incorporated in The Republic of South Africa)</w:t>
      </w:r>
    </w:p>
    <w:p w14:paraId="01DE18FC" w14:textId="77777777" w:rsidR="00496FF8" w:rsidRPr="00496FF8" w:rsidRDefault="00496FF8" w:rsidP="00496FF8">
      <w:pPr>
        <w:spacing w:after="0"/>
        <w:rPr>
          <w:rFonts w:cs="Arial"/>
          <w:sz w:val="20"/>
          <w:szCs w:val="20"/>
        </w:rPr>
      </w:pPr>
      <w:r w:rsidRPr="00496FF8">
        <w:rPr>
          <w:rFonts w:cs="Arial"/>
          <w:sz w:val="20"/>
          <w:szCs w:val="20"/>
        </w:rPr>
        <w:t>(Registration Number 1987/002097/06)</w:t>
      </w:r>
    </w:p>
    <w:p w14:paraId="40711FBD" w14:textId="77777777" w:rsidR="00496FF8" w:rsidRPr="00496FF8" w:rsidRDefault="00496FF8" w:rsidP="00496FF8">
      <w:pPr>
        <w:spacing w:after="0"/>
        <w:rPr>
          <w:rFonts w:cs="Arial"/>
          <w:sz w:val="20"/>
          <w:szCs w:val="20"/>
        </w:rPr>
      </w:pPr>
      <w:r w:rsidRPr="00496FF8">
        <w:rPr>
          <w:rFonts w:cs="Arial"/>
          <w:sz w:val="20"/>
          <w:szCs w:val="20"/>
        </w:rPr>
        <w:t>(“Sasfin” or “the Company”)</w:t>
      </w:r>
    </w:p>
    <w:p w14:paraId="4EDB653C" w14:textId="7F7AE2E6" w:rsidR="00496FF8" w:rsidRPr="00496FF8" w:rsidRDefault="00AF5C3D" w:rsidP="00496FF8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496FF8" w:rsidRPr="00496FF8">
        <w:rPr>
          <w:rFonts w:cs="Arial"/>
          <w:sz w:val="20"/>
          <w:szCs w:val="20"/>
        </w:rPr>
        <w:t xml:space="preserve">hare code: </w:t>
      </w:r>
      <w:proofErr w:type="spellStart"/>
      <w:r w:rsidR="00496FF8" w:rsidRPr="00496FF8">
        <w:rPr>
          <w:rFonts w:cs="Arial"/>
          <w:sz w:val="20"/>
          <w:szCs w:val="20"/>
        </w:rPr>
        <w:t>SFN</w:t>
      </w:r>
      <w:proofErr w:type="spellEnd"/>
      <w:r w:rsidR="00496FF8" w:rsidRPr="00496FF8">
        <w:rPr>
          <w:rFonts w:cs="Arial"/>
          <w:sz w:val="20"/>
          <w:szCs w:val="20"/>
        </w:rPr>
        <w:t xml:space="preserve">   </w:t>
      </w:r>
      <w:proofErr w:type="spellStart"/>
      <w:r w:rsidR="00496FF8" w:rsidRPr="00496FF8">
        <w:rPr>
          <w:rFonts w:cs="Arial"/>
          <w:sz w:val="20"/>
          <w:szCs w:val="20"/>
        </w:rPr>
        <w:t>ISIN</w:t>
      </w:r>
      <w:proofErr w:type="spellEnd"/>
      <w:r w:rsidR="00496FF8" w:rsidRPr="00496FF8">
        <w:rPr>
          <w:rFonts w:cs="Arial"/>
          <w:sz w:val="20"/>
          <w:szCs w:val="20"/>
        </w:rPr>
        <w:t>: ZAE000006565</w:t>
      </w:r>
      <w:r w:rsidR="00496FF8" w:rsidRPr="00496FF8">
        <w:rPr>
          <w:rFonts w:cs="Arial"/>
          <w:sz w:val="20"/>
          <w:szCs w:val="20"/>
        </w:rPr>
        <w:tab/>
      </w:r>
    </w:p>
    <w:p w14:paraId="1071EC9A" w14:textId="77777777" w:rsidR="00D74B0F" w:rsidRPr="00496FF8" w:rsidRDefault="00D74B0F" w:rsidP="00496FF8">
      <w:pPr>
        <w:spacing w:before="240" w:after="0"/>
        <w:jc w:val="both"/>
        <w:rPr>
          <w:rFonts w:cs="Arial"/>
          <w:b/>
          <w:sz w:val="20"/>
          <w:szCs w:val="20"/>
        </w:rPr>
      </w:pPr>
    </w:p>
    <w:p w14:paraId="38911BCB" w14:textId="44493756" w:rsidR="009C6CC6" w:rsidRPr="009C6CC6" w:rsidRDefault="009C6CC6" w:rsidP="009C6CC6">
      <w:pPr>
        <w:autoSpaceDE w:val="0"/>
        <w:autoSpaceDN w:val="0"/>
        <w:adjustRightInd w:val="0"/>
        <w:spacing w:after="0"/>
        <w:rPr>
          <w:rFonts w:cs="Arial"/>
          <w:b/>
          <w:sz w:val="20"/>
          <w:szCs w:val="20"/>
        </w:rPr>
      </w:pPr>
      <w:r w:rsidRPr="009C6CC6">
        <w:rPr>
          <w:rFonts w:cs="Arial"/>
          <w:b/>
          <w:sz w:val="20"/>
          <w:szCs w:val="20"/>
        </w:rPr>
        <w:t>Basel Pillar III</w:t>
      </w:r>
      <w:r>
        <w:rPr>
          <w:rFonts w:cs="Arial"/>
          <w:b/>
          <w:sz w:val="20"/>
          <w:szCs w:val="20"/>
        </w:rPr>
        <w:t xml:space="preserve"> </w:t>
      </w:r>
      <w:r w:rsidRPr="009C6CC6">
        <w:rPr>
          <w:rFonts w:cs="Arial"/>
          <w:b/>
          <w:sz w:val="20"/>
          <w:szCs w:val="20"/>
        </w:rPr>
        <w:t>Disclosure</w:t>
      </w:r>
      <w:r>
        <w:rPr>
          <w:rFonts w:cs="Arial"/>
          <w:b/>
          <w:sz w:val="20"/>
          <w:szCs w:val="20"/>
        </w:rPr>
        <w:t xml:space="preserve"> </w:t>
      </w:r>
      <w:r w:rsidRPr="009C6CC6">
        <w:rPr>
          <w:rFonts w:cs="Arial"/>
          <w:b/>
          <w:sz w:val="20"/>
          <w:szCs w:val="20"/>
        </w:rPr>
        <w:t>Report</w:t>
      </w:r>
      <w:r>
        <w:rPr>
          <w:rFonts w:cs="Arial"/>
          <w:b/>
          <w:sz w:val="20"/>
          <w:szCs w:val="20"/>
        </w:rPr>
        <w:t xml:space="preserve"> </w:t>
      </w:r>
      <w:r w:rsidR="00184475">
        <w:rPr>
          <w:rFonts w:cs="Arial"/>
          <w:b/>
          <w:sz w:val="20"/>
          <w:szCs w:val="20"/>
        </w:rPr>
        <w:t xml:space="preserve">for the </w:t>
      </w:r>
      <w:r w:rsidRPr="00496FF8">
        <w:rPr>
          <w:rFonts w:cs="Arial"/>
          <w:b/>
          <w:sz w:val="20"/>
          <w:szCs w:val="20"/>
        </w:rPr>
        <w:t>year ended</w:t>
      </w:r>
      <w:r>
        <w:rPr>
          <w:rFonts w:cs="Arial"/>
          <w:b/>
          <w:sz w:val="20"/>
          <w:szCs w:val="20"/>
        </w:rPr>
        <w:t xml:space="preserve"> </w:t>
      </w:r>
      <w:r w:rsidRPr="00496FF8">
        <w:rPr>
          <w:rFonts w:cs="Arial"/>
          <w:b/>
          <w:sz w:val="20"/>
          <w:szCs w:val="20"/>
        </w:rPr>
        <w:t xml:space="preserve">30 June </w:t>
      </w:r>
      <w:r w:rsidR="008315B1">
        <w:rPr>
          <w:rFonts w:cs="Arial"/>
          <w:b/>
          <w:sz w:val="20"/>
          <w:szCs w:val="20"/>
        </w:rPr>
        <w:t>202</w:t>
      </w:r>
      <w:r w:rsidR="00B966A8">
        <w:rPr>
          <w:rFonts w:cs="Arial"/>
          <w:b/>
          <w:sz w:val="20"/>
          <w:szCs w:val="20"/>
        </w:rPr>
        <w:t>2</w:t>
      </w:r>
    </w:p>
    <w:p w14:paraId="6ED3F309" w14:textId="77777777" w:rsidR="004C4856" w:rsidRDefault="004C4856" w:rsidP="009C6CC6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eastAsia="en-GB"/>
        </w:rPr>
      </w:pPr>
    </w:p>
    <w:p w14:paraId="4961618A" w14:textId="1807CD90" w:rsidR="009C6CC6" w:rsidRPr="009C6CC6" w:rsidRDefault="009C6CC6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  <w:r w:rsidRPr="009C6CC6">
        <w:rPr>
          <w:rFonts w:cs="Arial"/>
          <w:sz w:val="20"/>
          <w:szCs w:val="20"/>
          <w:lang w:eastAsia="en-GB"/>
        </w:rPr>
        <w:t xml:space="preserve">Sasfin Holdings Limited and Sasfin Bank Limited are required, in terms of Regulation 43(1)(e)(ii) of the Banks Act, </w:t>
      </w:r>
      <w:r w:rsidR="00B25195">
        <w:rPr>
          <w:rFonts w:cs="Arial"/>
          <w:sz w:val="20"/>
          <w:szCs w:val="20"/>
          <w:lang w:eastAsia="en-GB"/>
        </w:rPr>
        <w:t>n</w:t>
      </w:r>
      <w:r w:rsidRPr="009C6CC6">
        <w:rPr>
          <w:rFonts w:cs="Arial"/>
          <w:sz w:val="20"/>
          <w:szCs w:val="20"/>
          <w:lang w:eastAsia="en-GB"/>
        </w:rPr>
        <w:t>o 94</w:t>
      </w:r>
      <w:r>
        <w:rPr>
          <w:rFonts w:cs="Arial"/>
          <w:sz w:val="20"/>
          <w:szCs w:val="20"/>
          <w:lang w:eastAsia="en-GB"/>
        </w:rPr>
        <w:t xml:space="preserve"> </w:t>
      </w:r>
      <w:r w:rsidRPr="009C6CC6">
        <w:rPr>
          <w:rFonts w:cs="Arial"/>
          <w:sz w:val="20"/>
          <w:szCs w:val="20"/>
          <w:lang w:eastAsia="en-GB"/>
        </w:rPr>
        <w:t xml:space="preserve">of 1990, as amended, as well as in accordance with the Basel Committee on Banking Supervision (BCBS) revised </w:t>
      </w:r>
      <w:r w:rsidR="00B25195">
        <w:rPr>
          <w:rFonts w:cs="Arial"/>
          <w:sz w:val="20"/>
          <w:szCs w:val="20"/>
          <w:lang w:eastAsia="en-GB"/>
        </w:rPr>
        <w:t>P</w:t>
      </w:r>
      <w:r w:rsidRPr="009C6CC6">
        <w:rPr>
          <w:rFonts w:cs="Arial"/>
          <w:sz w:val="20"/>
          <w:szCs w:val="20"/>
          <w:lang w:eastAsia="en-GB"/>
        </w:rPr>
        <w:t>illar</w:t>
      </w:r>
      <w:r w:rsidR="00B25195">
        <w:rPr>
          <w:rFonts w:cs="Arial"/>
          <w:sz w:val="20"/>
          <w:szCs w:val="20"/>
          <w:lang w:eastAsia="en-GB"/>
        </w:rPr>
        <w:t xml:space="preserve"> III</w:t>
      </w:r>
      <w:r w:rsidRPr="009C6CC6">
        <w:rPr>
          <w:rFonts w:cs="Arial"/>
          <w:sz w:val="20"/>
          <w:szCs w:val="20"/>
          <w:lang w:eastAsia="en-GB"/>
        </w:rPr>
        <w:t xml:space="preserve"> </w:t>
      </w:r>
      <w:r w:rsidR="00184475">
        <w:rPr>
          <w:rFonts w:cs="Arial"/>
          <w:sz w:val="20"/>
          <w:szCs w:val="20"/>
          <w:lang w:eastAsia="en-GB"/>
        </w:rPr>
        <w:t>d</w:t>
      </w:r>
      <w:r w:rsidRPr="009C6CC6">
        <w:rPr>
          <w:rFonts w:cs="Arial"/>
          <w:sz w:val="20"/>
          <w:szCs w:val="20"/>
          <w:lang w:eastAsia="en-GB"/>
        </w:rPr>
        <w:t>isclosure requirements, the South African Reserve Bank (SARB) Directives 4 of 2014, 11 of 2015 and 1 of 2018, and</w:t>
      </w:r>
      <w:r>
        <w:rPr>
          <w:rFonts w:cs="Arial"/>
          <w:sz w:val="20"/>
          <w:szCs w:val="20"/>
          <w:lang w:eastAsia="en-GB"/>
        </w:rPr>
        <w:t xml:space="preserve"> </w:t>
      </w:r>
      <w:r w:rsidRPr="009C6CC6">
        <w:rPr>
          <w:rFonts w:cs="Arial"/>
          <w:sz w:val="20"/>
          <w:szCs w:val="20"/>
          <w:lang w:eastAsia="en-GB"/>
        </w:rPr>
        <w:t>Regulations, to publicly report on their capital management plan, capital strategy, capital structure, capital adequacy</w:t>
      </w:r>
      <w:r>
        <w:rPr>
          <w:rFonts w:cs="Arial"/>
          <w:sz w:val="20"/>
          <w:szCs w:val="20"/>
          <w:lang w:eastAsia="en-GB"/>
        </w:rPr>
        <w:t xml:space="preserve"> </w:t>
      </w:r>
      <w:r w:rsidRPr="009C6CC6">
        <w:rPr>
          <w:rFonts w:cs="Arial"/>
          <w:sz w:val="20"/>
          <w:szCs w:val="20"/>
          <w:lang w:eastAsia="en-GB"/>
        </w:rPr>
        <w:t>and leverage ratio.</w:t>
      </w:r>
    </w:p>
    <w:p w14:paraId="3EE9AB2F" w14:textId="77777777" w:rsidR="009C6CC6" w:rsidRDefault="009C6CC6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</w:p>
    <w:p w14:paraId="3B7951D4" w14:textId="77C2E3FD" w:rsidR="00184475" w:rsidRPr="00184475" w:rsidRDefault="00184475" w:rsidP="00AF5C3D">
      <w:pPr>
        <w:autoSpaceDE w:val="0"/>
        <w:autoSpaceDN w:val="0"/>
        <w:adjustRightInd w:val="0"/>
        <w:spacing w:line="312" w:lineRule="auto"/>
        <w:rPr>
          <w:rFonts w:cs="Arial"/>
          <w:sz w:val="20"/>
          <w:szCs w:val="20"/>
          <w:lang w:eastAsia="en-GB"/>
        </w:rPr>
      </w:pPr>
      <w:r w:rsidRPr="00184475">
        <w:rPr>
          <w:rFonts w:cs="Arial"/>
          <w:sz w:val="20"/>
          <w:szCs w:val="20"/>
          <w:lang w:eastAsia="en-GB"/>
        </w:rPr>
        <w:t xml:space="preserve">The capital structure and capital adequacy of Sasfin Holdings Limited, and the leverage and liquidity coverage ratios of Sasfin Bank Limited </w:t>
      </w:r>
      <w:proofErr w:type="gramStart"/>
      <w:r w:rsidRPr="00184475">
        <w:rPr>
          <w:rFonts w:cs="Arial"/>
          <w:sz w:val="20"/>
          <w:szCs w:val="20"/>
          <w:lang w:eastAsia="en-GB"/>
        </w:rPr>
        <w:t>at</w:t>
      </w:r>
      <w:proofErr w:type="gramEnd"/>
      <w:r w:rsidRPr="00184475">
        <w:rPr>
          <w:rFonts w:cs="Arial"/>
          <w:sz w:val="20"/>
          <w:szCs w:val="20"/>
          <w:lang w:eastAsia="en-GB"/>
        </w:rPr>
        <w:t xml:space="preserve"> 30 June 202</w:t>
      </w:r>
      <w:r w:rsidR="00B966A8">
        <w:rPr>
          <w:rFonts w:cs="Arial"/>
          <w:sz w:val="20"/>
          <w:szCs w:val="20"/>
          <w:lang w:eastAsia="en-GB"/>
        </w:rPr>
        <w:t>2</w:t>
      </w:r>
      <w:r w:rsidRPr="00184475">
        <w:rPr>
          <w:rFonts w:cs="Arial"/>
          <w:sz w:val="20"/>
          <w:szCs w:val="20"/>
          <w:lang w:eastAsia="en-GB"/>
        </w:rPr>
        <w:t xml:space="preserve"> are disclosed in the Basel Pillar III Disclosure Report</w:t>
      </w:r>
      <w:r>
        <w:rPr>
          <w:rFonts w:cs="Arial"/>
          <w:sz w:val="20"/>
          <w:szCs w:val="20"/>
          <w:lang w:eastAsia="en-GB"/>
        </w:rPr>
        <w:t xml:space="preserve">, </w:t>
      </w:r>
      <w:r w:rsidRPr="00184475">
        <w:rPr>
          <w:rFonts w:cs="Arial"/>
          <w:sz w:val="20"/>
          <w:szCs w:val="20"/>
          <w:lang w:eastAsia="en-GB"/>
        </w:rPr>
        <w:t>which is available for viewing on the following websites:</w:t>
      </w:r>
    </w:p>
    <w:p w14:paraId="312E5C51" w14:textId="2B47847E" w:rsidR="00184475" w:rsidRDefault="00184475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  <w:r w:rsidRPr="00184475">
        <w:rPr>
          <w:rFonts w:cs="Arial"/>
          <w:sz w:val="20"/>
          <w:szCs w:val="20"/>
          <w:lang w:eastAsia="en-GB"/>
        </w:rPr>
        <w:t>Company’s website:</w:t>
      </w:r>
      <w:r w:rsidR="00270E88" w:rsidRPr="00270E88">
        <w:t xml:space="preserve"> </w:t>
      </w:r>
      <w:r w:rsidR="00270E88" w:rsidRPr="00270E88">
        <w:rPr>
          <w:rFonts w:cs="Arial"/>
          <w:sz w:val="20"/>
          <w:szCs w:val="20"/>
          <w:lang w:eastAsia="en-GB"/>
        </w:rPr>
        <w:t>https://www.sasfin.com/investor-relations/</w:t>
      </w:r>
      <w:r w:rsidRPr="00184475">
        <w:rPr>
          <w:rFonts w:cs="Arial"/>
          <w:sz w:val="20"/>
          <w:szCs w:val="20"/>
          <w:lang w:eastAsia="en-GB"/>
        </w:rPr>
        <w:t xml:space="preserve"> </w:t>
      </w:r>
    </w:p>
    <w:p w14:paraId="71B2A9D7" w14:textId="77777777" w:rsidR="00270E88" w:rsidRPr="00184475" w:rsidRDefault="00270E88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</w:p>
    <w:p w14:paraId="31D89346" w14:textId="285F8386" w:rsidR="00AF5C3D" w:rsidRDefault="00184475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  <w:r w:rsidRPr="00184475">
        <w:rPr>
          <w:rFonts w:cs="Arial"/>
          <w:sz w:val="20"/>
          <w:szCs w:val="20"/>
          <w:lang w:eastAsia="en-GB"/>
        </w:rPr>
        <w:t xml:space="preserve">JSE website: </w:t>
      </w:r>
      <w:r w:rsidR="00AF5C3D" w:rsidRPr="00AF5C3D">
        <w:rPr>
          <w:rFonts w:cs="Arial"/>
          <w:sz w:val="20"/>
          <w:szCs w:val="20"/>
          <w:lang w:eastAsia="en-GB"/>
        </w:rPr>
        <w:t xml:space="preserve"> </w:t>
      </w:r>
      <w:r w:rsidR="00AF5C3D">
        <w:rPr>
          <w:rFonts w:cs="Arial"/>
          <w:sz w:val="20"/>
          <w:szCs w:val="20"/>
          <w:lang w:eastAsia="en-GB"/>
        </w:rPr>
        <w:t>https://senspdf.jse.co.za/documents/2022/jse/isse/sfn/plr-3.pdf</w:t>
      </w:r>
    </w:p>
    <w:p w14:paraId="6E34B29F" w14:textId="5C96BA99" w:rsidR="00184475" w:rsidRDefault="00B966A8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 xml:space="preserve"> </w:t>
      </w:r>
    </w:p>
    <w:p w14:paraId="6EE1DE85" w14:textId="007387C2" w:rsidR="008315B1" w:rsidRDefault="00B25195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  <w:r>
        <w:rPr>
          <w:rFonts w:cs="Arial"/>
          <w:sz w:val="20"/>
          <w:szCs w:val="20"/>
          <w:lang w:eastAsia="en-GB"/>
        </w:rPr>
        <w:t>Sasfin</w:t>
      </w:r>
      <w:r w:rsidR="009C6CC6" w:rsidRPr="009C6CC6">
        <w:rPr>
          <w:rFonts w:cs="Arial"/>
          <w:sz w:val="20"/>
          <w:szCs w:val="20"/>
          <w:lang w:eastAsia="en-GB"/>
        </w:rPr>
        <w:t xml:space="preserve">’s risk governance framework is fully disclosed in </w:t>
      </w:r>
      <w:r w:rsidR="00AF5C3D">
        <w:rPr>
          <w:rFonts w:cs="Arial"/>
          <w:sz w:val="20"/>
          <w:szCs w:val="20"/>
          <w:lang w:eastAsia="en-GB"/>
        </w:rPr>
        <w:t>its</w:t>
      </w:r>
      <w:r w:rsidR="009C6CC6" w:rsidRPr="009C6CC6">
        <w:rPr>
          <w:rFonts w:cs="Arial"/>
          <w:sz w:val="20"/>
          <w:szCs w:val="20"/>
          <w:lang w:eastAsia="en-GB"/>
        </w:rPr>
        <w:t xml:space="preserve"> </w:t>
      </w:r>
      <w:r w:rsidR="008315B1">
        <w:rPr>
          <w:rFonts w:cs="Arial"/>
          <w:sz w:val="20"/>
          <w:szCs w:val="20"/>
          <w:lang w:eastAsia="en-GB"/>
        </w:rPr>
        <w:t>202</w:t>
      </w:r>
      <w:r w:rsidR="00B966A8">
        <w:rPr>
          <w:rFonts w:cs="Arial"/>
          <w:sz w:val="20"/>
          <w:szCs w:val="20"/>
          <w:lang w:eastAsia="en-GB"/>
        </w:rPr>
        <w:t>2</w:t>
      </w:r>
      <w:r w:rsidR="009C6CC6" w:rsidRPr="009C6CC6">
        <w:rPr>
          <w:rFonts w:cs="Arial"/>
          <w:sz w:val="20"/>
          <w:szCs w:val="20"/>
          <w:lang w:eastAsia="en-GB"/>
        </w:rPr>
        <w:t xml:space="preserve"> Annual Financial Statements</w:t>
      </w:r>
      <w:r>
        <w:rPr>
          <w:rFonts w:cs="Arial"/>
          <w:sz w:val="20"/>
          <w:szCs w:val="20"/>
          <w:lang w:eastAsia="en-GB"/>
        </w:rPr>
        <w:t>, which are available</w:t>
      </w:r>
      <w:r w:rsidR="009C6CC6" w:rsidRPr="009C6CC6">
        <w:rPr>
          <w:rFonts w:cs="Arial"/>
          <w:sz w:val="20"/>
          <w:szCs w:val="20"/>
          <w:lang w:eastAsia="en-GB"/>
        </w:rPr>
        <w:t xml:space="preserve"> at</w:t>
      </w:r>
      <w:r w:rsidR="009C6CC6">
        <w:rPr>
          <w:rFonts w:cs="Arial"/>
          <w:sz w:val="20"/>
          <w:szCs w:val="20"/>
          <w:lang w:eastAsia="en-GB"/>
        </w:rPr>
        <w:t xml:space="preserve"> </w:t>
      </w:r>
      <w:r w:rsidR="009C6CC6" w:rsidRPr="009C6CC6">
        <w:rPr>
          <w:rFonts w:cs="Arial"/>
          <w:sz w:val="20"/>
          <w:szCs w:val="20"/>
          <w:lang w:eastAsia="en-GB"/>
        </w:rPr>
        <w:t>www.sasfin.com</w:t>
      </w:r>
      <w:r w:rsidR="00AF5C3D">
        <w:rPr>
          <w:rFonts w:cs="Arial"/>
          <w:sz w:val="20"/>
          <w:szCs w:val="20"/>
          <w:lang w:eastAsia="en-GB"/>
        </w:rPr>
        <w:t>/investor-relations</w:t>
      </w:r>
      <w:r>
        <w:rPr>
          <w:rFonts w:cs="Arial"/>
          <w:sz w:val="20"/>
          <w:szCs w:val="20"/>
          <w:lang w:eastAsia="en-GB"/>
        </w:rPr>
        <w:t xml:space="preserve">, alternatively hard copies may be requested from </w:t>
      </w:r>
      <w:r w:rsidR="009C6CC6" w:rsidRPr="009C6CC6">
        <w:rPr>
          <w:rFonts w:cs="Arial"/>
          <w:sz w:val="20"/>
          <w:szCs w:val="20"/>
          <w:lang w:eastAsia="en-GB"/>
        </w:rPr>
        <w:t>the Company Secretary</w:t>
      </w:r>
      <w:r w:rsidR="00184475">
        <w:rPr>
          <w:rFonts w:cs="Arial"/>
          <w:sz w:val="20"/>
          <w:szCs w:val="20"/>
          <w:lang w:eastAsia="en-GB"/>
        </w:rPr>
        <w:t xml:space="preserve"> (email </w:t>
      </w:r>
      <w:hyperlink r:id="rId5" w:history="1">
        <w:r w:rsidR="00B966A8" w:rsidRPr="00833204">
          <w:rPr>
            <w:rStyle w:val="Hyperlink"/>
            <w:rFonts w:cs="Arial"/>
            <w:sz w:val="20"/>
            <w:szCs w:val="20"/>
            <w:lang w:eastAsia="en-GB"/>
          </w:rPr>
          <w:t>Charissa.DeJager@sasfin.com</w:t>
        </w:r>
      </w:hyperlink>
      <w:r w:rsidR="00184475">
        <w:rPr>
          <w:rStyle w:val="Hyperlink"/>
          <w:rFonts w:cs="Arial"/>
          <w:sz w:val="20"/>
          <w:szCs w:val="20"/>
          <w:lang w:eastAsia="en-GB"/>
        </w:rPr>
        <w:t>)</w:t>
      </w:r>
      <w:r>
        <w:rPr>
          <w:rStyle w:val="Hyperlink"/>
          <w:rFonts w:cs="Arial"/>
          <w:sz w:val="20"/>
          <w:szCs w:val="20"/>
          <w:lang w:eastAsia="en-GB"/>
        </w:rPr>
        <w:t>.</w:t>
      </w:r>
    </w:p>
    <w:p w14:paraId="77D422B7" w14:textId="77777777" w:rsidR="008315B1" w:rsidRDefault="008315B1" w:rsidP="00AF5C3D">
      <w:pPr>
        <w:autoSpaceDE w:val="0"/>
        <w:autoSpaceDN w:val="0"/>
        <w:adjustRightInd w:val="0"/>
        <w:spacing w:after="0" w:line="312" w:lineRule="auto"/>
        <w:jc w:val="both"/>
        <w:rPr>
          <w:rFonts w:cs="Arial"/>
          <w:sz w:val="20"/>
          <w:szCs w:val="20"/>
          <w:lang w:eastAsia="en-GB"/>
        </w:rPr>
      </w:pPr>
    </w:p>
    <w:p w14:paraId="7DC564B9" w14:textId="77777777" w:rsidR="00E312D3" w:rsidRPr="0058095B" w:rsidRDefault="00E312D3" w:rsidP="00D41B13">
      <w:pPr>
        <w:spacing w:after="0"/>
        <w:jc w:val="both"/>
        <w:rPr>
          <w:rFonts w:cs="Arial"/>
          <w:sz w:val="20"/>
          <w:szCs w:val="20"/>
        </w:rPr>
      </w:pPr>
      <w:r w:rsidRPr="0058095B">
        <w:rPr>
          <w:rFonts w:cs="Arial"/>
          <w:sz w:val="20"/>
          <w:szCs w:val="20"/>
        </w:rPr>
        <w:t>Johannesburg</w:t>
      </w:r>
    </w:p>
    <w:p w14:paraId="18B61548" w14:textId="5E11E3DE" w:rsidR="00E312D3" w:rsidRDefault="00B966A8" w:rsidP="00D41B13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11 November 2022</w:t>
      </w:r>
    </w:p>
    <w:p w14:paraId="7CBB1CE3" w14:textId="31501FE2" w:rsidR="00D37F9D" w:rsidRDefault="00D37F9D" w:rsidP="00D41B13">
      <w:pPr>
        <w:spacing w:after="0"/>
        <w:jc w:val="both"/>
        <w:rPr>
          <w:rFonts w:cs="Arial"/>
          <w:sz w:val="20"/>
          <w:szCs w:val="20"/>
        </w:rPr>
      </w:pPr>
    </w:p>
    <w:p w14:paraId="376C4C21" w14:textId="3F3F94D4" w:rsidR="00B966A8" w:rsidRPr="00B966A8" w:rsidRDefault="00B966A8" w:rsidP="00B966A8">
      <w:pPr>
        <w:spacing w:after="0"/>
        <w:jc w:val="both"/>
        <w:rPr>
          <w:rFonts w:cs="Arial"/>
          <w:sz w:val="20"/>
          <w:szCs w:val="20"/>
        </w:rPr>
      </w:pPr>
      <w:r w:rsidRPr="00B966A8">
        <w:rPr>
          <w:rFonts w:cs="Arial"/>
          <w:sz w:val="20"/>
          <w:szCs w:val="20"/>
        </w:rPr>
        <w:t xml:space="preserve">Sponsor: </w:t>
      </w:r>
    </w:p>
    <w:p w14:paraId="3F5D22E7" w14:textId="0C3716AD" w:rsidR="00D37F9D" w:rsidRPr="0058095B" w:rsidRDefault="00B966A8" w:rsidP="00B966A8">
      <w:pPr>
        <w:spacing w:after="0"/>
        <w:jc w:val="both"/>
        <w:rPr>
          <w:rFonts w:cs="Arial"/>
          <w:sz w:val="20"/>
          <w:szCs w:val="20"/>
        </w:rPr>
      </w:pPr>
      <w:r w:rsidRPr="00B966A8">
        <w:rPr>
          <w:rFonts w:cs="Arial"/>
          <w:sz w:val="20"/>
          <w:szCs w:val="20"/>
        </w:rPr>
        <w:t>Questco Corporate Advisory Proprietary Limited</w:t>
      </w:r>
    </w:p>
    <w:sectPr w:rsidR="00D37F9D" w:rsidRPr="0058095B" w:rsidSect="007F46E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65"/>
    <w:multiLevelType w:val="hybridMultilevel"/>
    <w:tmpl w:val="48E027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3793"/>
    <w:multiLevelType w:val="hybridMultilevel"/>
    <w:tmpl w:val="7EF6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BB8"/>
    <w:multiLevelType w:val="hybridMultilevel"/>
    <w:tmpl w:val="1ABA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2FD7"/>
    <w:multiLevelType w:val="hybridMultilevel"/>
    <w:tmpl w:val="946C75FA"/>
    <w:lvl w:ilvl="0" w:tplc="9A309A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0F40"/>
    <w:multiLevelType w:val="hybridMultilevel"/>
    <w:tmpl w:val="125EFA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E30C3"/>
    <w:multiLevelType w:val="hybridMultilevel"/>
    <w:tmpl w:val="06A08C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9124">
    <w:abstractNumId w:val="2"/>
  </w:num>
  <w:num w:numId="2" w16cid:durableId="2000500902">
    <w:abstractNumId w:val="1"/>
  </w:num>
  <w:num w:numId="3" w16cid:durableId="1637685591">
    <w:abstractNumId w:val="3"/>
  </w:num>
  <w:num w:numId="4" w16cid:durableId="1184175853">
    <w:abstractNumId w:val="4"/>
  </w:num>
  <w:num w:numId="5" w16cid:durableId="1849323056">
    <w:abstractNumId w:val="0"/>
  </w:num>
  <w:num w:numId="6" w16cid:durableId="1488785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D1"/>
    <w:rsid w:val="0002475D"/>
    <w:rsid w:val="00062FDC"/>
    <w:rsid w:val="00093C83"/>
    <w:rsid w:val="000A3875"/>
    <w:rsid w:val="000A59F2"/>
    <w:rsid w:val="000C2413"/>
    <w:rsid w:val="000C38A2"/>
    <w:rsid w:val="000E0D27"/>
    <w:rsid w:val="00132176"/>
    <w:rsid w:val="00137707"/>
    <w:rsid w:val="00165345"/>
    <w:rsid w:val="00184475"/>
    <w:rsid w:val="00195DAC"/>
    <w:rsid w:val="001A6432"/>
    <w:rsid w:val="001B12E7"/>
    <w:rsid w:val="001E4BE5"/>
    <w:rsid w:val="001E6634"/>
    <w:rsid w:val="001E6914"/>
    <w:rsid w:val="001F2AF7"/>
    <w:rsid w:val="00203A09"/>
    <w:rsid w:val="00221035"/>
    <w:rsid w:val="002449D3"/>
    <w:rsid w:val="0025070A"/>
    <w:rsid w:val="00270E88"/>
    <w:rsid w:val="002948BC"/>
    <w:rsid w:val="002A328F"/>
    <w:rsid w:val="002C49AF"/>
    <w:rsid w:val="002F5315"/>
    <w:rsid w:val="003667CC"/>
    <w:rsid w:val="003907F1"/>
    <w:rsid w:val="003A33FE"/>
    <w:rsid w:val="003A41BB"/>
    <w:rsid w:val="003E54A9"/>
    <w:rsid w:val="00431194"/>
    <w:rsid w:val="004412AB"/>
    <w:rsid w:val="00466674"/>
    <w:rsid w:val="0047140C"/>
    <w:rsid w:val="004755C0"/>
    <w:rsid w:val="004813F0"/>
    <w:rsid w:val="00496FF8"/>
    <w:rsid w:val="004B1BA1"/>
    <w:rsid w:val="004C4856"/>
    <w:rsid w:val="004E518B"/>
    <w:rsid w:val="004F0437"/>
    <w:rsid w:val="00530B4D"/>
    <w:rsid w:val="005406BE"/>
    <w:rsid w:val="0058095B"/>
    <w:rsid w:val="005F34A4"/>
    <w:rsid w:val="005F63C1"/>
    <w:rsid w:val="00612050"/>
    <w:rsid w:val="006903BA"/>
    <w:rsid w:val="0069544E"/>
    <w:rsid w:val="006A1063"/>
    <w:rsid w:val="006A742A"/>
    <w:rsid w:val="006E4884"/>
    <w:rsid w:val="00741D41"/>
    <w:rsid w:val="00752A0A"/>
    <w:rsid w:val="007557C1"/>
    <w:rsid w:val="007F46EC"/>
    <w:rsid w:val="008315B1"/>
    <w:rsid w:val="00832722"/>
    <w:rsid w:val="008372D1"/>
    <w:rsid w:val="008511E8"/>
    <w:rsid w:val="00854B19"/>
    <w:rsid w:val="008979E9"/>
    <w:rsid w:val="008A2559"/>
    <w:rsid w:val="008E2191"/>
    <w:rsid w:val="00911B94"/>
    <w:rsid w:val="00943ADF"/>
    <w:rsid w:val="009B1689"/>
    <w:rsid w:val="009B60CA"/>
    <w:rsid w:val="009C6CC6"/>
    <w:rsid w:val="00A077DE"/>
    <w:rsid w:val="00A14127"/>
    <w:rsid w:val="00A22999"/>
    <w:rsid w:val="00AF5C3D"/>
    <w:rsid w:val="00AF75B6"/>
    <w:rsid w:val="00B157B8"/>
    <w:rsid w:val="00B25195"/>
    <w:rsid w:val="00B45626"/>
    <w:rsid w:val="00B510F5"/>
    <w:rsid w:val="00B628E1"/>
    <w:rsid w:val="00B83E03"/>
    <w:rsid w:val="00B86797"/>
    <w:rsid w:val="00B966A8"/>
    <w:rsid w:val="00BC1A7B"/>
    <w:rsid w:val="00BE1407"/>
    <w:rsid w:val="00C005EC"/>
    <w:rsid w:val="00C10877"/>
    <w:rsid w:val="00C14F20"/>
    <w:rsid w:val="00C161D1"/>
    <w:rsid w:val="00C32F86"/>
    <w:rsid w:val="00C80A81"/>
    <w:rsid w:val="00C934D6"/>
    <w:rsid w:val="00CC0843"/>
    <w:rsid w:val="00D332C2"/>
    <w:rsid w:val="00D37F9D"/>
    <w:rsid w:val="00D41B13"/>
    <w:rsid w:val="00D465F7"/>
    <w:rsid w:val="00D74B0F"/>
    <w:rsid w:val="00D83E81"/>
    <w:rsid w:val="00D87A03"/>
    <w:rsid w:val="00DB41BC"/>
    <w:rsid w:val="00DE70CA"/>
    <w:rsid w:val="00E013B8"/>
    <w:rsid w:val="00E11E49"/>
    <w:rsid w:val="00E14385"/>
    <w:rsid w:val="00E312D3"/>
    <w:rsid w:val="00E37E8F"/>
    <w:rsid w:val="00E616B4"/>
    <w:rsid w:val="00E65CD8"/>
    <w:rsid w:val="00E8141A"/>
    <w:rsid w:val="00EA206B"/>
    <w:rsid w:val="00EB449E"/>
    <w:rsid w:val="00EC3A97"/>
    <w:rsid w:val="00EE37E8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C1E0"/>
  <w15:chartTrackingRefBased/>
  <w15:docId w15:val="{90DFD54A-D7C0-439E-AD97-CC8CC56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D"/>
    <w:pPr>
      <w:spacing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A0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8">
    <w:name w:val="A8"/>
    <w:uiPriority w:val="99"/>
    <w:rsid w:val="00D87A03"/>
    <w:rPr>
      <w:rFonts w:cs="Gotham Book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752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2D3"/>
    <w:rPr>
      <w:color w:val="0000FF" w:themeColor="hyperlink"/>
      <w:u w:val="single"/>
    </w:rPr>
  </w:style>
  <w:style w:type="paragraph" w:customStyle="1" w:styleId="Pa1">
    <w:name w:val="Pa1"/>
    <w:basedOn w:val="Default"/>
    <w:next w:val="Default"/>
    <w:uiPriority w:val="99"/>
    <w:rsid w:val="00B157B8"/>
    <w:pPr>
      <w:spacing w:line="261" w:lineRule="atLeast"/>
    </w:pPr>
    <w:rPr>
      <w:rFonts w:ascii="Gotham Medium" w:hAnsi="Gotham Medium" w:cstheme="minorBidi"/>
      <w:color w:val="auto"/>
      <w:lang w:val="en-ZA"/>
    </w:rPr>
  </w:style>
  <w:style w:type="character" w:customStyle="1" w:styleId="A0">
    <w:name w:val="A0"/>
    <w:uiPriority w:val="99"/>
    <w:rsid w:val="00B157B8"/>
    <w:rPr>
      <w:rFonts w:cs="Gotham Medium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character" w:customStyle="1" w:styleId="A1">
    <w:name w:val="A1"/>
    <w:uiPriority w:val="99"/>
    <w:rsid w:val="00B157B8"/>
    <w:rPr>
      <w:rFonts w:ascii="Gotham Book" w:hAnsi="Gotham Book" w:cs="Gotham Book"/>
      <w:color w:val="000000"/>
      <w:sz w:val="14"/>
      <w:szCs w:val="14"/>
    </w:rPr>
  </w:style>
  <w:style w:type="paragraph" w:customStyle="1" w:styleId="Pa3">
    <w:name w:val="Pa3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paragraph" w:customStyle="1" w:styleId="Pa4">
    <w:name w:val="Pa4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paragraph" w:customStyle="1" w:styleId="Pa5">
    <w:name w:val="Pa5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paragraph" w:styleId="NoSpacing">
    <w:name w:val="No Spacing"/>
    <w:uiPriority w:val="1"/>
    <w:qFormat/>
    <w:rsid w:val="0013217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3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D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D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D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F2A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95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9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5C3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issa.DeJager@sasf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Ncube</dc:creator>
  <cp:keywords/>
  <dc:description/>
  <cp:lastModifiedBy>Charissa De Jager</cp:lastModifiedBy>
  <cp:revision>2</cp:revision>
  <cp:lastPrinted>2019-10-31T14:13:00Z</cp:lastPrinted>
  <dcterms:created xsi:type="dcterms:W3CDTF">2022-11-11T05:54:00Z</dcterms:created>
  <dcterms:modified xsi:type="dcterms:W3CDTF">2022-11-11T05:54:00Z</dcterms:modified>
</cp:coreProperties>
</file>