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C0922" w14:textId="77777777" w:rsidR="00496FF8" w:rsidRPr="002D3852" w:rsidRDefault="00496FF8" w:rsidP="00BF572E">
      <w:pPr>
        <w:spacing w:after="0"/>
        <w:jc w:val="both"/>
        <w:rPr>
          <w:rFonts w:cs="Arial"/>
          <w:b/>
          <w:bCs/>
        </w:rPr>
      </w:pPr>
      <w:r w:rsidRPr="002D3852">
        <w:rPr>
          <w:rFonts w:cs="Arial"/>
          <w:b/>
          <w:bCs/>
        </w:rPr>
        <w:t>SASFIN HOLDINGS LIMITED</w:t>
      </w:r>
    </w:p>
    <w:p w14:paraId="27D718C6" w14:textId="77777777" w:rsidR="00496FF8" w:rsidRPr="002D3852" w:rsidRDefault="00496FF8" w:rsidP="00BF572E">
      <w:pPr>
        <w:spacing w:after="0"/>
        <w:jc w:val="both"/>
        <w:rPr>
          <w:rFonts w:cs="Arial"/>
        </w:rPr>
      </w:pPr>
      <w:r w:rsidRPr="002D3852">
        <w:rPr>
          <w:rFonts w:cs="Arial"/>
        </w:rPr>
        <w:t>(Incorporated in The Republic of South Africa)</w:t>
      </w:r>
    </w:p>
    <w:p w14:paraId="01DE18FC" w14:textId="77777777" w:rsidR="00496FF8" w:rsidRPr="002D3852" w:rsidRDefault="00496FF8" w:rsidP="00BF572E">
      <w:pPr>
        <w:spacing w:after="0"/>
        <w:jc w:val="both"/>
        <w:rPr>
          <w:rFonts w:cs="Arial"/>
        </w:rPr>
      </w:pPr>
      <w:r w:rsidRPr="002D3852">
        <w:rPr>
          <w:rFonts w:cs="Arial"/>
        </w:rPr>
        <w:t>(Registration Number 1987/002097/06)</w:t>
      </w:r>
    </w:p>
    <w:p w14:paraId="4EDB653C" w14:textId="65B5A25D" w:rsidR="00496FF8" w:rsidRPr="002D3852" w:rsidRDefault="00F83588" w:rsidP="00BF572E">
      <w:pPr>
        <w:spacing w:after="0"/>
        <w:jc w:val="both"/>
        <w:rPr>
          <w:rFonts w:cs="Arial"/>
        </w:rPr>
      </w:pPr>
      <w:r w:rsidRPr="002D3852">
        <w:rPr>
          <w:rFonts w:cs="Arial"/>
        </w:rPr>
        <w:t>S</w:t>
      </w:r>
      <w:r w:rsidR="00496FF8" w:rsidRPr="002D3852">
        <w:rPr>
          <w:rFonts w:cs="Arial"/>
        </w:rPr>
        <w:t>hare code: SFN   ISIN: ZAE000006565</w:t>
      </w:r>
      <w:r w:rsidR="00496FF8" w:rsidRPr="002D3852">
        <w:rPr>
          <w:rFonts w:cs="Arial"/>
        </w:rPr>
        <w:tab/>
      </w:r>
    </w:p>
    <w:p w14:paraId="5E86A0AE" w14:textId="12693A71" w:rsidR="00623261" w:rsidRPr="002D3852" w:rsidRDefault="0067162E" w:rsidP="00BF572E">
      <w:pPr>
        <w:spacing w:after="0"/>
        <w:jc w:val="both"/>
        <w:rPr>
          <w:rFonts w:cs="Arial"/>
        </w:rPr>
      </w:pPr>
      <w:r w:rsidRPr="002D3852">
        <w:rPr>
          <w:rFonts w:cs="Arial"/>
        </w:rPr>
        <w:t>(“Sasfin” or “the Company”)</w:t>
      </w:r>
    </w:p>
    <w:p w14:paraId="14601AD4" w14:textId="77777777" w:rsidR="002D3852" w:rsidRDefault="002D3852" w:rsidP="00BF572E">
      <w:pPr>
        <w:spacing w:before="240" w:after="0"/>
        <w:jc w:val="both"/>
        <w:rPr>
          <w:rFonts w:cs="Arial"/>
          <w:b/>
          <w:caps/>
        </w:rPr>
      </w:pPr>
    </w:p>
    <w:p w14:paraId="5F77165A" w14:textId="17A79DDE" w:rsidR="00B157B8" w:rsidRPr="002D3852" w:rsidRDefault="00B157B8" w:rsidP="00BF572E">
      <w:pPr>
        <w:spacing w:before="240" w:after="0"/>
        <w:jc w:val="both"/>
        <w:rPr>
          <w:rFonts w:cs="Arial"/>
          <w:b/>
          <w:caps/>
        </w:rPr>
      </w:pPr>
      <w:r w:rsidRPr="002D3852">
        <w:rPr>
          <w:rFonts w:cs="Arial"/>
          <w:b/>
          <w:caps/>
        </w:rPr>
        <w:t xml:space="preserve">Summarised </w:t>
      </w:r>
      <w:r w:rsidR="00443477" w:rsidRPr="002D3852">
        <w:rPr>
          <w:rFonts w:cs="Arial"/>
          <w:b/>
          <w:caps/>
        </w:rPr>
        <w:t xml:space="preserve">audited consolidated </w:t>
      </w:r>
      <w:r w:rsidRPr="002D3852">
        <w:rPr>
          <w:rFonts w:cs="Arial"/>
          <w:b/>
          <w:caps/>
        </w:rPr>
        <w:t xml:space="preserve">annual results for the year ended 30 June </w:t>
      </w:r>
      <w:r w:rsidR="00306681" w:rsidRPr="002D3852">
        <w:rPr>
          <w:rFonts w:cs="Arial"/>
          <w:b/>
          <w:caps/>
        </w:rPr>
        <w:t>202</w:t>
      </w:r>
      <w:r w:rsidR="00B5792A" w:rsidRPr="002D3852">
        <w:rPr>
          <w:rFonts w:cs="Arial"/>
          <w:b/>
          <w:caps/>
        </w:rPr>
        <w:t>2</w:t>
      </w:r>
      <w:r w:rsidR="009A23F6" w:rsidRPr="002D3852">
        <w:rPr>
          <w:rFonts w:cs="Arial"/>
          <w:b/>
          <w:caps/>
        </w:rPr>
        <w:t xml:space="preserve"> </w:t>
      </w:r>
      <w:r w:rsidR="00C03587" w:rsidRPr="002D3852">
        <w:rPr>
          <w:rFonts w:cs="Arial"/>
          <w:b/>
          <w:caps/>
        </w:rPr>
        <w:t xml:space="preserve">short form announcement </w:t>
      </w:r>
      <w:r w:rsidR="009A23F6" w:rsidRPr="002D3852">
        <w:rPr>
          <w:rFonts w:cs="Arial"/>
          <w:b/>
          <w:caps/>
        </w:rPr>
        <w:t xml:space="preserve">and </w:t>
      </w:r>
      <w:r w:rsidR="00C03587" w:rsidRPr="002D3852">
        <w:rPr>
          <w:rFonts w:cs="Arial"/>
          <w:b/>
          <w:caps/>
        </w:rPr>
        <w:t xml:space="preserve">cash </w:t>
      </w:r>
      <w:r w:rsidR="009A23F6" w:rsidRPr="002D3852">
        <w:rPr>
          <w:rFonts w:cs="Arial"/>
          <w:b/>
          <w:caps/>
        </w:rPr>
        <w:t>dividend declaration</w:t>
      </w:r>
    </w:p>
    <w:p w14:paraId="0A44865C" w14:textId="77777777" w:rsidR="00803BD8" w:rsidRPr="002D3852" w:rsidRDefault="00803BD8" w:rsidP="00BF572E">
      <w:pPr>
        <w:spacing w:after="0"/>
        <w:jc w:val="both"/>
        <w:rPr>
          <w:rFonts w:cs="Arial"/>
        </w:rPr>
      </w:pPr>
    </w:p>
    <w:p w14:paraId="6824FA3A" w14:textId="162AFD4F" w:rsidR="00132176" w:rsidRPr="002D3852" w:rsidRDefault="00E616B4" w:rsidP="00BF572E">
      <w:pPr>
        <w:spacing w:after="0"/>
        <w:jc w:val="both"/>
        <w:rPr>
          <w:rFonts w:cs="Arial"/>
        </w:rPr>
      </w:pPr>
      <w:r w:rsidRPr="002D3852">
        <w:rPr>
          <w:rFonts w:cs="Arial"/>
        </w:rPr>
        <w:t>At Sasfin we contribute to society by going beyond a bank to enable growth in businesses and the global wealth of our clients</w:t>
      </w:r>
      <w:r w:rsidR="00132176" w:rsidRPr="002D3852">
        <w:rPr>
          <w:rFonts w:cs="Arial"/>
        </w:rPr>
        <w:t>.</w:t>
      </w:r>
    </w:p>
    <w:p w14:paraId="68D699B8" w14:textId="0BD42773" w:rsidR="00496FF8" w:rsidRPr="002D3852" w:rsidRDefault="00496FF8" w:rsidP="00BF572E">
      <w:pPr>
        <w:spacing w:after="0"/>
        <w:jc w:val="both"/>
        <w:rPr>
          <w:rFonts w:cs="Arial"/>
        </w:rPr>
      </w:pPr>
    </w:p>
    <w:p w14:paraId="64FA2710" w14:textId="582BBF22" w:rsidR="00496FF8" w:rsidRPr="002D3852" w:rsidRDefault="00496FF8" w:rsidP="00BF572E">
      <w:pPr>
        <w:spacing w:after="0"/>
        <w:jc w:val="both"/>
        <w:rPr>
          <w:rFonts w:cs="Arial"/>
          <w:b/>
          <w:bCs/>
        </w:rPr>
      </w:pPr>
      <w:r w:rsidRPr="002D3852">
        <w:rPr>
          <w:rFonts w:cs="Arial"/>
          <w:b/>
          <w:bCs/>
        </w:rPr>
        <w:t>Salient features</w:t>
      </w:r>
    </w:p>
    <w:p w14:paraId="6DA07303" w14:textId="1FDE6FA6" w:rsidR="00132176" w:rsidRPr="002D3852" w:rsidRDefault="00132176" w:rsidP="00BF572E">
      <w:pPr>
        <w:spacing w:after="0"/>
        <w:jc w:val="both"/>
        <w:rPr>
          <w:rFonts w:cs="Arial"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5320"/>
        <w:gridCol w:w="1340"/>
        <w:gridCol w:w="1278"/>
        <w:gridCol w:w="1402"/>
      </w:tblGrid>
      <w:tr w:rsidR="0091117C" w:rsidRPr="00013703" w14:paraId="6BFE1FCB" w14:textId="77777777" w:rsidTr="00341939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F4B16" w14:textId="1CD40708" w:rsidR="0091117C" w:rsidRPr="00013703" w:rsidRDefault="0091117C" w:rsidP="00341939">
            <w:pPr>
              <w:spacing w:after="0"/>
              <w:jc w:val="both"/>
              <w:rPr>
                <w:rFonts w:eastAsia="Times New Roman" w:cs="Arial"/>
                <w:b/>
                <w:bCs/>
                <w:sz w:val="20"/>
                <w:szCs w:val="20"/>
                <w:lang w:val="en-ZA" w:eastAsia="en-ZA"/>
              </w:rPr>
            </w:pPr>
            <w:r w:rsidRPr="00013703">
              <w:rPr>
                <w:rFonts w:eastAsia="Times New Roman" w:cs="Arial"/>
                <w:b/>
                <w:bCs/>
                <w:sz w:val="20"/>
                <w:szCs w:val="20"/>
                <w:lang w:val="en-ZA" w:eastAsia="en-ZA"/>
              </w:rPr>
              <w:t xml:space="preserve">Key indicators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0606A" w14:textId="77777777" w:rsidR="0091117C" w:rsidRPr="00013703" w:rsidRDefault="0091117C" w:rsidP="00341939">
            <w:pPr>
              <w:spacing w:after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ZA" w:eastAsia="en-Z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F78AE" w14:textId="77777777" w:rsidR="0091117C" w:rsidRPr="00013703" w:rsidRDefault="0091117C" w:rsidP="00341939">
            <w:pPr>
              <w:spacing w:after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ZA" w:eastAsia="en-ZA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59191" w14:textId="77777777" w:rsidR="0091117C" w:rsidRPr="00013703" w:rsidRDefault="0091117C" w:rsidP="00341939">
            <w:pPr>
              <w:spacing w:after="0"/>
              <w:jc w:val="right"/>
              <w:rPr>
                <w:rFonts w:eastAsia="Times New Roman" w:cs="Arial"/>
                <w:b/>
                <w:bCs/>
                <w:sz w:val="20"/>
                <w:szCs w:val="20"/>
                <w:lang w:val="en-ZA" w:eastAsia="en-ZA"/>
              </w:rPr>
            </w:pPr>
          </w:p>
        </w:tc>
      </w:tr>
      <w:tr w:rsidR="0091117C" w:rsidRPr="00013703" w14:paraId="57D7B020" w14:textId="77777777" w:rsidTr="008C1084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6B0D3" w14:textId="77777777" w:rsidR="0091117C" w:rsidRPr="00013703" w:rsidRDefault="0091117C" w:rsidP="0091117C">
            <w:pPr>
              <w:spacing w:after="0"/>
              <w:jc w:val="both"/>
              <w:rPr>
                <w:rFonts w:eastAsia="Times New Roman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48A4EB7" w14:textId="5BE11696" w:rsidR="0091117C" w:rsidRPr="00013703" w:rsidRDefault="0091117C" w:rsidP="0091117C">
            <w:pPr>
              <w:spacing w:after="0"/>
              <w:jc w:val="right"/>
              <w:rPr>
                <w:rFonts w:eastAsia="Times New Roman" w:cs="Arial"/>
                <w:sz w:val="20"/>
                <w:szCs w:val="20"/>
                <w:lang w:val="en-ZA" w:eastAsia="en-ZA"/>
              </w:rPr>
            </w:pPr>
            <w:r w:rsidRPr="00013703">
              <w:rPr>
                <w:rFonts w:cs="Arial"/>
                <w:b/>
                <w:spacing w:val="-4"/>
                <w:sz w:val="20"/>
                <w:szCs w:val="20"/>
              </w:rPr>
              <w:t>2022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FAA7EE" w14:textId="031EE630" w:rsidR="0091117C" w:rsidRPr="00013703" w:rsidRDefault="0091117C" w:rsidP="0091117C">
            <w:pPr>
              <w:spacing w:after="0"/>
              <w:jc w:val="right"/>
              <w:rPr>
                <w:rFonts w:eastAsia="Times New Roman" w:cs="Arial"/>
                <w:sz w:val="20"/>
                <w:szCs w:val="20"/>
                <w:lang w:val="en-ZA" w:eastAsia="en-ZA"/>
              </w:rPr>
            </w:pPr>
            <w:r w:rsidRPr="00013703">
              <w:rPr>
                <w:rFonts w:cs="Arial"/>
                <w:spacing w:val="-4"/>
                <w:w w:val="105"/>
                <w:sz w:val="20"/>
                <w:szCs w:val="20"/>
              </w:rPr>
              <w:t>2021</w:t>
            </w:r>
            <w:r w:rsidR="0042347C" w:rsidRPr="00013703">
              <w:rPr>
                <w:rFonts w:cs="Arial"/>
                <w:spacing w:val="-4"/>
                <w:w w:val="105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095391" w14:textId="66FF06A7" w:rsidR="0091117C" w:rsidRPr="00013703" w:rsidRDefault="0091117C" w:rsidP="0091117C">
            <w:pPr>
              <w:spacing w:after="0"/>
              <w:jc w:val="right"/>
              <w:rPr>
                <w:rFonts w:eastAsia="Times New Roman" w:cs="Arial"/>
                <w:sz w:val="20"/>
                <w:szCs w:val="20"/>
                <w:lang w:val="en-ZA" w:eastAsia="en-ZA"/>
              </w:rPr>
            </w:pPr>
            <w:r w:rsidRPr="00013703">
              <w:rPr>
                <w:rFonts w:cs="Arial"/>
                <w:w w:val="120"/>
                <w:sz w:val="20"/>
                <w:szCs w:val="20"/>
              </w:rPr>
              <w:t>%</w:t>
            </w:r>
          </w:p>
        </w:tc>
      </w:tr>
      <w:tr w:rsidR="0091117C" w:rsidRPr="00013703" w14:paraId="18C9C46E" w14:textId="77777777" w:rsidTr="00FA37B5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C9C49" w14:textId="60AF2FB3" w:rsidR="0091117C" w:rsidRPr="00013703" w:rsidRDefault="0091117C" w:rsidP="0091117C">
            <w:pPr>
              <w:spacing w:after="0"/>
              <w:jc w:val="both"/>
              <w:rPr>
                <w:rFonts w:eastAsia="Times New Roman" w:cs="Arial"/>
                <w:sz w:val="20"/>
                <w:szCs w:val="20"/>
                <w:lang w:val="en-ZA" w:eastAsia="en-ZA"/>
              </w:rPr>
            </w:pPr>
            <w:r w:rsidRPr="00013703">
              <w:rPr>
                <w:rFonts w:cs="Arial"/>
                <w:sz w:val="20"/>
                <w:szCs w:val="20"/>
              </w:rPr>
              <w:t>Group Headline earnings (Rm)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45C23" w14:textId="3BC5C99C" w:rsidR="0091117C" w:rsidRPr="00013703" w:rsidRDefault="0091117C" w:rsidP="0091117C">
            <w:pPr>
              <w:spacing w:after="0"/>
              <w:jc w:val="right"/>
              <w:rPr>
                <w:rFonts w:eastAsia="Times New Roman" w:cs="Arial"/>
                <w:sz w:val="20"/>
                <w:szCs w:val="20"/>
                <w:lang w:val="en-ZA" w:eastAsia="en-ZA"/>
              </w:rPr>
            </w:pPr>
            <w:r w:rsidRPr="00013703">
              <w:rPr>
                <w:rFonts w:cs="Arial"/>
                <w:b/>
                <w:spacing w:val="-2"/>
                <w:sz w:val="20"/>
                <w:szCs w:val="20"/>
              </w:rPr>
              <w:t>166.7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F665B" w14:textId="2DD42882" w:rsidR="0091117C" w:rsidRPr="00013703" w:rsidRDefault="0091117C" w:rsidP="0091117C">
            <w:pPr>
              <w:spacing w:after="0"/>
              <w:jc w:val="right"/>
              <w:rPr>
                <w:rFonts w:eastAsia="Times New Roman" w:cs="Arial"/>
                <w:sz w:val="20"/>
                <w:szCs w:val="20"/>
                <w:lang w:val="en-ZA" w:eastAsia="en-ZA"/>
              </w:rPr>
            </w:pPr>
            <w:r w:rsidRPr="00013703">
              <w:rPr>
                <w:rFonts w:cs="Arial"/>
                <w:spacing w:val="-2"/>
                <w:w w:val="105"/>
                <w:sz w:val="20"/>
                <w:szCs w:val="20"/>
              </w:rPr>
              <w:t>141.1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6A160" w14:textId="3F22DDF7" w:rsidR="0091117C" w:rsidRPr="00013703" w:rsidRDefault="0091117C" w:rsidP="0091117C">
            <w:pPr>
              <w:spacing w:after="0"/>
              <w:jc w:val="right"/>
              <w:rPr>
                <w:rFonts w:eastAsia="Times New Roman" w:cs="Arial"/>
                <w:sz w:val="20"/>
                <w:szCs w:val="20"/>
                <w:lang w:val="en-ZA" w:eastAsia="en-ZA"/>
              </w:rPr>
            </w:pPr>
            <w:r w:rsidRPr="00013703">
              <w:rPr>
                <w:rFonts w:cs="Arial"/>
                <w:spacing w:val="-4"/>
                <w:w w:val="105"/>
                <w:sz w:val="20"/>
                <w:szCs w:val="20"/>
              </w:rPr>
              <w:t>18.19</w:t>
            </w:r>
          </w:p>
        </w:tc>
      </w:tr>
      <w:tr w:rsidR="0091117C" w:rsidRPr="00013703" w14:paraId="025835D1" w14:textId="77777777" w:rsidTr="00FA37B5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0A84A" w14:textId="1E12171B" w:rsidR="0091117C" w:rsidRPr="00013703" w:rsidRDefault="0091117C" w:rsidP="0091117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013703">
              <w:rPr>
                <w:rFonts w:cs="Arial"/>
                <w:sz w:val="20"/>
                <w:szCs w:val="20"/>
              </w:rPr>
              <w:t>Group Headline earning per share (</w:t>
            </w:r>
            <w:r w:rsidR="0042347C" w:rsidRPr="00013703">
              <w:rPr>
                <w:rFonts w:cs="Arial"/>
                <w:sz w:val="20"/>
                <w:szCs w:val="20"/>
              </w:rPr>
              <w:t>cents</w:t>
            </w:r>
            <w:r w:rsidRPr="00013703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4DD99" w14:textId="66405B84" w:rsidR="0091117C" w:rsidRPr="00013703" w:rsidRDefault="0091117C" w:rsidP="0091117C">
            <w:pPr>
              <w:spacing w:after="0"/>
              <w:jc w:val="right"/>
              <w:rPr>
                <w:rFonts w:cs="Arial"/>
                <w:b/>
                <w:spacing w:val="-2"/>
                <w:sz w:val="20"/>
                <w:szCs w:val="20"/>
              </w:rPr>
            </w:pPr>
            <w:r w:rsidRPr="00013703">
              <w:rPr>
                <w:rFonts w:cs="Arial"/>
                <w:b/>
                <w:spacing w:val="-2"/>
                <w:sz w:val="20"/>
                <w:szCs w:val="20"/>
              </w:rPr>
              <w:t>541.81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611B2" w14:textId="4453ABED" w:rsidR="0091117C" w:rsidRPr="00013703" w:rsidRDefault="0091117C" w:rsidP="0091117C">
            <w:pPr>
              <w:spacing w:after="0"/>
              <w:jc w:val="right"/>
              <w:rPr>
                <w:rFonts w:cs="Arial"/>
                <w:spacing w:val="-2"/>
                <w:w w:val="105"/>
                <w:sz w:val="20"/>
                <w:szCs w:val="20"/>
              </w:rPr>
            </w:pPr>
            <w:r w:rsidRPr="00013703">
              <w:rPr>
                <w:rFonts w:cs="Arial"/>
                <w:spacing w:val="-2"/>
                <w:w w:val="105"/>
                <w:sz w:val="20"/>
                <w:szCs w:val="20"/>
              </w:rPr>
              <w:t>438.24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1AEB5" w14:textId="54F5B2C1" w:rsidR="0091117C" w:rsidRPr="00013703" w:rsidRDefault="0091117C" w:rsidP="0091117C">
            <w:pPr>
              <w:spacing w:after="0"/>
              <w:jc w:val="right"/>
              <w:rPr>
                <w:rFonts w:cs="Arial"/>
                <w:spacing w:val="-4"/>
                <w:w w:val="105"/>
                <w:sz w:val="20"/>
                <w:szCs w:val="20"/>
              </w:rPr>
            </w:pPr>
            <w:r w:rsidRPr="00013703">
              <w:rPr>
                <w:rFonts w:cs="Arial"/>
                <w:spacing w:val="-4"/>
                <w:w w:val="105"/>
                <w:sz w:val="20"/>
                <w:szCs w:val="20"/>
              </w:rPr>
              <w:t>23.63</w:t>
            </w:r>
          </w:p>
        </w:tc>
      </w:tr>
      <w:tr w:rsidR="0091117C" w:rsidRPr="00013703" w14:paraId="256E931A" w14:textId="77777777" w:rsidTr="00FA37B5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6BBE0" w14:textId="1B195BA3" w:rsidR="0091117C" w:rsidRPr="00013703" w:rsidRDefault="0091117C" w:rsidP="0091117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013703">
              <w:rPr>
                <w:rFonts w:cs="Arial"/>
                <w:sz w:val="20"/>
                <w:szCs w:val="20"/>
              </w:rPr>
              <w:t>Earnings per share (cents)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25ABE" w14:textId="72526550" w:rsidR="0091117C" w:rsidRPr="00013703" w:rsidRDefault="0091117C" w:rsidP="0091117C">
            <w:pPr>
              <w:spacing w:after="0"/>
              <w:jc w:val="right"/>
              <w:rPr>
                <w:rFonts w:cs="Arial"/>
                <w:b/>
                <w:spacing w:val="-2"/>
                <w:sz w:val="20"/>
                <w:szCs w:val="20"/>
              </w:rPr>
            </w:pPr>
            <w:r w:rsidRPr="00013703">
              <w:rPr>
                <w:rFonts w:cs="Arial"/>
                <w:b/>
                <w:spacing w:val="-2"/>
                <w:sz w:val="20"/>
                <w:szCs w:val="20"/>
              </w:rPr>
              <w:t>597.47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FEF23" w14:textId="5E70E5BA" w:rsidR="0091117C" w:rsidRPr="00013703" w:rsidRDefault="0091117C" w:rsidP="0091117C">
            <w:pPr>
              <w:spacing w:after="0"/>
              <w:jc w:val="right"/>
              <w:rPr>
                <w:rFonts w:cs="Arial"/>
                <w:spacing w:val="-2"/>
                <w:w w:val="105"/>
                <w:sz w:val="20"/>
                <w:szCs w:val="20"/>
              </w:rPr>
            </w:pPr>
            <w:r w:rsidRPr="00013703">
              <w:rPr>
                <w:rFonts w:cs="Arial"/>
                <w:spacing w:val="-2"/>
                <w:w w:val="105"/>
                <w:sz w:val="20"/>
                <w:szCs w:val="20"/>
              </w:rPr>
              <w:t>241.20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5C976" w14:textId="1687956B" w:rsidR="0091117C" w:rsidRPr="00013703" w:rsidRDefault="0091117C" w:rsidP="0091117C">
            <w:pPr>
              <w:spacing w:after="0"/>
              <w:jc w:val="right"/>
              <w:rPr>
                <w:rFonts w:cs="Arial"/>
                <w:spacing w:val="-4"/>
                <w:w w:val="105"/>
                <w:sz w:val="20"/>
                <w:szCs w:val="20"/>
              </w:rPr>
            </w:pPr>
            <w:r w:rsidRPr="00013703">
              <w:rPr>
                <w:rFonts w:cs="Arial"/>
                <w:spacing w:val="-4"/>
                <w:w w:val="105"/>
                <w:sz w:val="20"/>
                <w:szCs w:val="20"/>
              </w:rPr>
              <w:t>&gt;100%</w:t>
            </w:r>
          </w:p>
        </w:tc>
      </w:tr>
      <w:tr w:rsidR="0091117C" w:rsidRPr="00013703" w14:paraId="411B7D90" w14:textId="77777777" w:rsidTr="00FA37B5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39902" w14:textId="41D73414" w:rsidR="0091117C" w:rsidRPr="00013703" w:rsidRDefault="0091117C" w:rsidP="0091117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013703">
              <w:rPr>
                <w:rFonts w:cs="Arial"/>
                <w:sz w:val="20"/>
                <w:szCs w:val="20"/>
              </w:rPr>
              <w:t>Total Income (including associate income)</w:t>
            </w:r>
            <w:r w:rsidR="001E00ED" w:rsidRPr="00013703">
              <w:rPr>
                <w:rFonts w:cs="Arial"/>
                <w:sz w:val="20"/>
                <w:szCs w:val="20"/>
              </w:rPr>
              <w:t xml:space="preserve"> </w:t>
            </w:r>
            <w:r w:rsidRPr="00013703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013703">
              <w:rPr>
                <w:rFonts w:cs="Arial"/>
                <w:sz w:val="20"/>
                <w:szCs w:val="20"/>
              </w:rPr>
              <w:t>Rbn</w:t>
            </w:r>
            <w:proofErr w:type="spellEnd"/>
            <w:r w:rsidRPr="00013703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1A3F7" w14:textId="53716041" w:rsidR="0091117C" w:rsidRPr="00013703" w:rsidRDefault="0091117C" w:rsidP="0091117C">
            <w:pPr>
              <w:spacing w:after="0"/>
              <w:jc w:val="right"/>
              <w:rPr>
                <w:rFonts w:cs="Arial"/>
                <w:b/>
                <w:spacing w:val="-2"/>
                <w:sz w:val="20"/>
                <w:szCs w:val="20"/>
              </w:rPr>
            </w:pPr>
            <w:r w:rsidRPr="00013703">
              <w:rPr>
                <w:rFonts w:cs="Arial"/>
                <w:b/>
                <w:spacing w:val="-2"/>
                <w:sz w:val="20"/>
                <w:szCs w:val="20"/>
              </w:rPr>
              <w:t>1</w:t>
            </w:r>
            <w:r w:rsidR="0042347C" w:rsidRPr="00013703">
              <w:rPr>
                <w:rFonts w:cs="Arial"/>
                <w:b/>
                <w:spacing w:val="-2"/>
                <w:sz w:val="20"/>
                <w:szCs w:val="20"/>
              </w:rPr>
              <w:t>.</w:t>
            </w:r>
            <w:r w:rsidRPr="00013703">
              <w:rPr>
                <w:rFonts w:cs="Arial"/>
                <w:b/>
                <w:spacing w:val="-2"/>
                <w:sz w:val="20"/>
                <w:szCs w:val="20"/>
              </w:rPr>
              <w:t>332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C0416" w14:textId="3F868CE2" w:rsidR="0091117C" w:rsidRPr="00013703" w:rsidRDefault="0091117C" w:rsidP="0091117C">
            <w:pPr>
              <w:spacing w:after="0"/>
              <w:jc w:val="right"/>
              <w:rPr>
                <w:rFonts w:cs="Arial"/>
                <w:spacing w:val="-2"/>
                <w:w w:val="105"/>
                <w:sz w:val="20"/>
                <w:szCs w:val="20"/>
              </w:rPr>
            </w:pPr>
            <w:r w:rsidRPr="00013703">
              <w:rPr>
                <w:rFonts w:cs="Arial"/>
                <w:spacing w:val="-2"/>
                <w:w w:val="105"/>
                <w:sz w:val="20"/>
                <w:szCs w:val="20"/>
              </w:rPr>
              <w:t>1</w:t>
            </w:r>
            <w:r w:rsidR="0042347C" w:rsidRPr="00013703">
              <w:rPr>
                <w:rFonts w:cs="Arial"/>
                <w:spacing w:val="-2"/>
                <w:w w:val="105"/>
                <w:sz w:val="20"/>
                <w:szCs w:val="20"/>
              </w:rPr>
              <w:t>.</w:t>
            </w:r>
            <w:r w:rsidRPr="00013703">
              <w:rPr>
                <w:rFonts w:cs="Arial"/>
                <w:spacing w:val="-2"/>
                <w:w w:val="105"/>
                <w:sz w:val="20"/>
                <w:szCs w:val="20"/>
              </w:rPr>
              <w:t>333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5932A" w14:textId="39E871AF" w:rsidR="0091117C" w:rsidRPr="00013703" w:rsidRDefault="0091117C" w:rsidP="0091117C">
            <w:pPr>
              <w:spacing w:after="0"/>
              <w:jc w:val="right"/>
              <w:rPr>
                <w:rFonts w:cs="Arial"/>
                <w:spacing w:val="-4"/>
                <w:w w:val="105"/>
                <w:sz w:val="20"/>
                <w:szCs w:val="20"/>
              </w:rPr>
            </w:pPr>
            <w:r w:rsidRPr="00013703">
              <w:rPr>
                <w:rFonts w:cs="Arial"/>
                <w:spacing w:val="-4"/>
                <w:w w:val="105"/>
                <w:sz w:val="20"/>
                <w:szCs w:val="20"/>
              </w:rPr>
              <w:t>(0.08)</w:t>
            </w:r>
          </w:p>
        </w:tc>
      </w:tr>
      <w:tr w:rsidR="0091117C" w:rsidRPr="00013703" w14:paraId="170386EB" w14:textId="77777777" w:rsidTr="00FA37B5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180A9" w14:textId="37AA254C" w:rsidR="0091117C" w:rsidRPr="00013703" w:rsidRDefault="0091117C" w:rsidP="0091117C">
            <w:pPr>
              <w:spacing w:after="0"/>
              <w:jc w:val="both"/>
              <w:rPr>
                <w:rFonts w:eastAsia="Times New Roman" w:cs="Arial"/>
                <w:sz w:val="20"/>
                <w:szCs w:val="20"/>
                <w:lang w:val="en-ZA" w:eastAsia="en-ZA"/>
              </w:rPr>
            </w:pPr>
            <w:r w:rsidRPr="00013703">
              <w:rPr>
                <w:rFonts w:cs="Arial"/>
                <w:sz w:val="20"/>
                <w:szCs w:val="20"/>
              </w:rPr>
              <w:t>Group profit (Rm)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19EEB" w14:textId="1565A2EA" w:rsidR="0091117C" w:rsidRPr="00013703" w:rsidRDefault="0091117C" w:rsidP="0091117C">
            <w:pPr>
              <w:spacing w:after="0"/>
              <w:jc w:val="right"/>
              <w:rPr>
                <w:rFonts w:eastAsia="Times New Roman" w:cs="Arial"/>
                <w:sz w:val="20"/>
                <w:szCs w:val="20"/>
                <w:lang w:val="en-ZA" w:eastAsia="en-ZA"/>
              </w:rPr>
            </w:pPr>
            <w:r w:rsidRPr="00013703">
              <w:rPr>
                <w:rFonts w:cs="Arial"/>
                <w:b/>
                <w:spacing w:val="-2"/>
                <w:sz w:val="20"/>
                <w:szCs w:val="20"/>
              </w:rPr>
              <w:t>183.9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AA12B" w14:textId="7727975D" w:rsidR="0091117C" w:rsidRPr="00013703" w:rsidRDefault="0091117C" w:rsidP="0091117C">
            <w:pPr>
              <w:spacing w:after="0"/>
              <w:jc w:val="right"/>
              <w:rPr>
                <w:rFonts w:eastAsia="Times New Roman" w:cs="Arial"/>
                <w:sz w:val="20"/>
                <w:szCs w:val="20"/>
                <w:lang w:val="en-ZA" w:eastAsia="en-ZA"/>
              </w:rPr>
            </w:pPr>
            <w:r w:rsidRPr="00013703">
              <w:rPr>
                <w:rFonts w:cs="Arial"/>
                <w:spacing w:val="-4"/>
                <w:w w:val="105"/>
                <w:sz w:val="20"/>
                <w:szCs w:val="20"/>
              </w:rPr>
              <w:t>77.6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5DBF0" w14:textId="44E6B901" w:rsidR="0091117C" w:rsidRPr="00013703" w:rsidRDefault="0091117C" w:rsidP="0091117C">
            <w:pPr>
              <w:spacing w:after="0"/>
              <w:jc w:val="right"/>
              <w:rPr>
                <w:rFonts w:eastAsia="Times New Roman" w:cs="Arial"/>
                <w:sz w:val="20"/>
                <w:szCs w:val="20"/>
                <w:lang w:val="en-ZA" w:eastAsia="en-ZA"/>
              </w:rPr>
            </w:pPr>
            <w:r w:rsidRPr="00013703">
              <w:rPr>
                <w:rFonts w:cs="Arial"/>
                <w:spacing w:val="-2"/>
                <w:w w:val="105"/>
                <w:sz w:val="20"/>
                <w:szCs w:val="20"/>
              </w:rPr>
              <w:t>&gt;100.00</w:t>
            </w:r>
          </w:p>
        </w:tc>
      </w:tr>
      <w:tr w:rsidR="0091117C" w:rsidRPr="00013703" w14:paraId="62E32698" w14:textId="77777777" w:rsidTr="00FA37B5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B9B3E" w14:textId="62543CB2" w:rsidR="0091117C" w:rsidRPr="00013703" w:rsidRDefault="0091117C" w:rsidP="0091117C">
            <w:pPr>
              <w:spacing w:after="0"/>
              <w:jc w:val="both"/>
              <w:rPr>
                <w:rFonts w:eastAsia="Times New Roman" w:cs="Arial"/>
                <w:sz w:val="20"/>
                <w:szCs w:val="20"/>
                <w:lang w:val="en-ZA" w:eastAsia="en-ZA"/>
              </w:rPr>
            </w:pPr>
            <w:r w:rsidRPr="00013703">
              <w:rPr>
                <w:rFonts w:cs="Arial"/>
                <w:sz w:val="20"/>
                <w:szCs w:val="20"/>
              </w:rPr>
              <w:t>Cost to income ratio (%)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F8A5E" w14:textId="54A950A1" w:rsidR="0091117C" w:rsidRPr="00013703" w:rsidRDefault="0091117C" w:rsidP="0091117C">
            <w:pPr>
              <w:spacing w:after="0"/>
              <w:jc w:val="right"/>
              <w:rPr>
                <w:rFonts w:eastAsia="Times New Roman" w:cs="Arial"/>
                <w:sz w:val="20"/>
                <w:szCs w:val="20"/>
                <w:lang w:val="en-ZA" w:eastAsia="en-ZA"/>
              </w:rPr>
            </w:pPr>
            <w:r w:rsidRPr="00013703">
              <w:rPr>
                <w:rFonts w:cs="Arial"/>
                <w:b/>
                <w:spacing w:val="-2"/>
                <w:sz w:val="20"/>
                <w:szCs w:val="20"/>
              </w:rPr>
              <w:t>78.93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C00E7" w14:textId="7E8713C4" w:rsidR="0091117C" w:rsidRPr="00013703" w:rsidRDefault="0091117C" w:rsidP="0091117C">
            <w:pPr>
              <w:spacing w:after="0"/>
              <w:jc w:val="right"/>
              <w:rPr>
                <w:rFonts w:eastAsia="Times New Roman" w:cs="Arial"/>
                <w:sz w:val="20"/>
                <w:szCs w:val="20"/>
                <w:lang w:val="en-ZA" w:eastAsia="en-ZA"/>
              </w:rPr>
            </w:pPr>
            <w:r w:rsidRPr="00013703">
              <w:rPr>
                <w:rFonts w:cs="Arial"/>
                <w:spacing w:val="-4"/>
                <w:w w:val="105"/>
                <w:sz w:val="20"/>
                <w:szCs w:val="20"/>
              </w:rPr>
              <w:t>76.21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B8611" w14:textId="1F0E39E5" w:rsidR="0091117C" w:rsidRPr="00013703" w:rsidRDefault="0091117C" w:rsidP="0091117C">
            <w:pPr>
              <w:spacing w:after="0"/>
              <w:jc w:val="right"/>
              <w:rPr>
                <w:rFonts w:eastAsia="Times New Roman" w:cs="Arial"/>
                <w:sz w:val="20"/>
                <w:szCs w:val="20"/>
                <w:lang w:val="en-ZA" w:eastAsia="en-ZA"/>
              </w:rPr>
            </w:pPr>
            <w:r w:rsidRPr="00013703">
              <w:rPr>
                <w:rFonts w:cs="Arial"/>
                <w:spacing w:val="-4"/>
                <w:w w:val="105"/>
                <w:sz w:val="20"/>
                <w:szCs w:val="20"/>
              </w:rPr>
              <w:t>3.57</w:t>
            </w:r>
          </w:p>
        </w:tc>
      </w:tr>
      <w:tr w:rsidR="0091117C" w:rsidRPr="00013703" w14:paraId="6E113D81" w14:textId="77777777" w:rsidTr="00FA37B5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C8F0D" w14:textId="7FCFCB0C" w:rsidR="0091117C" w:rsidRPr="00013703" w:rsidRDefault="0091117C" w:rsidP="0091117C">
            <w:pPr>
              <w:spacing w:after="0"/>
              <w:jc w:val="both"/>
              <w:rPr>
                <w:rFonts w:eastAsia="Times New Roman" w:cs="Arial"/>
                <w:sz w:val="20"/>
                <w:szCs w:val="20"/>
                <w:lang w:val="en-ZA" w:eastAsia="en-ZA"/>
              </w:rPr>
            </w:pPr>
            <w:r w:rsidRPr="00013703">
              <w:rPr>
                <w:rFonts w:cs="Arial"/>
                <w:sz w:val="20"/>
                <w:szCs w:val="20"/>
              </w:rPr>
              <w:t>Return on equity (%)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8CCE5" w14:textId="61AD88CA" w:rsidR="0091117C" w:rsidRPr="00013703" w:rsidRDefault="0091117C" w:rsidP="0091117C">
            <w:pPr>
              <w:spacing w:after="0"/>
              <w:jc w:val="right"/>
              <w:rPr>
                <w:rFonts w:eastAsia="Times New Roman" w:cs="Arial"/>
                <w:sz w:val="20"/>
                <w:szCs w:val="20"/>
                <w:lang w:val="en-ZA" w:eastAsia="en-ZA"/>
              </w:rPr>
            </w:pPr>
            <w:r w:rsidRPr="00013703">
              <w:rPr>
                <w:rFonts w:cs="Arial"/>
                <w:b/>
                <w:spacing w:val="-2"/>
                <w:sz w:val="20"/>
                <w:szCs w:val="20"/>
              </w:rPr>
              <w:t>10.46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971F8" w14:textId="596589EB" w:rsidR="0091117C" w:rsidRPr="00013703" w:rsidRDefault="0091117C" w:rsidP="0091117C">
            <w:pPr>
              <w:spacing w:after="0"/>
              <w:jc w:val="right"/>
              <w:rPr>
                <w:rFonts w:eastAsia="Times New Roman" w:cs="Arial"/>
                <w:sz w:val="20"/>
                <w:szCs w:val="20"/>
                <w:lang w:val="en-ZA" w:eastAsia="en-ZA"/>
              </w:rPr>
            </w:pPr>
            <w:r w:rsidRPr="00013703">
              <w:rPr>
                <w:rFonts w:cs="Arial"/>
                <w:spacing w:val="-4"/>
                <w:w w:val="105"/>
                <w:sz w:val="20"/>
                <w:szCs w:val="20"/>
              </w:rPr>
              <w:t>9.46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5E57A" w14:textId="2768E2BA" w:rsidR="0091117C" w:rsidRPr="00013703" w:rsidRDefault="0091117C" w:rsidP="0091117C">
            <w:pPr>
              <w:spacing w:after="0"/>
              <w:jc w:val="right"/>
              <w:rPr>
                <w:rFonts w:eastAsia="Times New Roman" w:cs="Arial"/>
                <w:sz w:val="20"/>
                <w:szCs w:val="20"/>
                <w:lang w:val="en-ZA" w:eastAsia="en-ZA"/>
              </w:rPr>
            </w:pPr>
            <w:r w:rsidRPr="00013703">
              <w:rPr>
                <w:rFonts w:cs="Arial"/>
                <w:spacing w:val="-4"/>
                <w:w w:val="105"/>
                <w:sz w:val="20"/>
                <w:szCs w:val="20"/>
              </w:rPr>
              <w:t>10.57</w:t>
            </w:r>
          </w:p>
        </w:tc>
      </w:tr>
      <w:tr w:rsidR="0091117C" w:rsidRPr="00013703" w14:paraId="6D1CE92F" w14:textId="77777777" w:rsidTr="00FA37B5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3AEB8" w14:textId="55409F95" w:rsidR="0091117C" w:rsidRPr="00013703" w:rsidRDefault="0091117C" w:rsidP="0091117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013703">
              <w:rPr>
                <w:rFonts w:cs="Arial"/>
                <w:sz w:val="20"/>
                <w:szCs w:val="20"/>
              </w:rPr>
              <w:t>Net Asset Value per share (cents)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28815" w14:textId="27D7A0D4" w:rsidR="0091117C" w:rsidRPr="00013703" w:rsidRDefault="0091117C" w:rsidP="0091117C">
            <w:pPr>
              <w:spacing w:after="0"/>
              <w:jc w:val="right"/>
              <w:rPr>
                <w:rFonts w:cs="Arial"/>
                <w:b/>
                <w:spacing w:val="-2"/>
                <w:sz w:val="20"/>
                <w:szCs w:val="20"/>
              </w:rPr>
            </w:pPr>
            <w:r w:rsidRPr="00013703">
              <w:rPr>
                <w:rFonts w:cs="Arial"/>
                <w:b/>
                <w:spacing w:val="-2"/>
                <w:sz w:val="20"/>
                <w:szCs w:val="20"/>
              </w:rPr>
              <w:t>5</w:t>
            </w:r>
            <w:r w:rsidR="00543BA0" w:rsidRPr="00013703">
              <w:rPr>
                <w:rFonts w:cs="Arial"/>
                <w:b/>
                <w:spacing w:val="-2"/>
                <w:sz w:val="20"/>
                <w:szCs w:val="20"/>
              </w:rPr>
              <w:t xml:space="preserve"> </w:t>
            </w:r>
            <w:r w:rsidRPr="00013703">
              <w:rPr>
                <w:rFonts w:cs="Arial"/>
                <w:b/>
                <w:spacing w:val="-2"/>
                <w:sz w:val="20"/>
                <w:szCs w:val="20"/>
              </w:rPr>
              <w:t>213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B7327" w14:textId="085B287B" w:rsidR="0091117C" w:rsidRPr="00013703" w:rsidRDefault="0091117C" w:rsidP="0091117C">
            <w:pPr>
              <w:spacing w:after="0"/>
              <w:jc w:val="right"/>
              <w:rPr>
                <w:rFonts w:cs="Arial"/>
                <w:spacing w:val="-4"/>
                <w:w w:val="105"/>
                <w:sz w:val="20"/>
                <w:szCs w:val="20"/>
              </w:rPr>
            </w:pPr>
            <w:r w:rsidRPr="00013703">
              <w:rPr>
                <w:rFonts w:cs="Arial"/>
                <w:spacing w:val="-4"/>
                <w:w w:val="105"/>
                <w:sz w:val="20"/>
                <w:szCs w:val="20"/>
              </w:rPr>
              <w:t>4 660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DA416" w14:textId="06C6CD5E" w:rsidR="0091117C" w:rsidRPr="00013703" w:rsidRDefault="0091117C" w:rsidP="0091117C">
            <w:pPr>
              <w:spacing w:after="0"/>
              <w:jc w:val="right"/>
              <w:rPr>
                <w:rFonts w:cs="Arial"/>
                <w:spacing w:val="-4"/>
                <w:w w:val="105"/>
                <w:sz w:val="20"/>
                <w:szCs w:val="20"/>
              </w:rPr>
            </w:pPr>
            <w:r w:rsidRPr="00013703">
              <w:rPr>
                <w:rFonts w:cs="Arial"/>
                <w:spacing w:val="-4"/>
                <w:w w:val="105"/>
                <w:sz w:val="20"/>
                <w:szCs w:val="20"/>
              </w:rPr>
              <w:t>11.86</w:t>
            </w:r>
          </w:p>
        </w:tc>
      </w:tr>
      <w:tr w:rsidR="0091117C" w:rsidRPr="00013703" w14:paraId="3B19A358" w14:textId="77777777" w:rsidTr="00FA37B5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6723E" w14:textId="619C392A" w:rsidR="0091117C" w:rsidRPr="00013703" w:rsidRDefault="0091117C" w:rsidP="0091117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013703">
              <w:rPr>
                <w:rFonts w:cs="Arial"/>
                <w:sz w:val="20"/>
                <w:szCs w:val="20"/>
              </w:rPr>
              <w:t>Total assets (</w:t>
            </w:r>
            <w:proofErr w:type="spellStart"/>
            <w:r w:rsidRPr="00013703">
              <w:rPr>
                <w:rFonts w:cs="Arial"/>
                <w:sz w:val="20"/>
                <w:szCs w:val="20"/>
              </w:rPr>
              <w:t>Rbn</w:t>
            </w:r>
            <w:proofErr w:type="spellEnd"/>
            <w:r w:rsidRPr="00013703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99734" w14:textId="0D252640" w:rsidR="0091117C" w:rsidRPr="00013703" w:rsidRDefault="0091117C" w:rsidP="0091117C">
            <w:pPr>
              <w:spacing w:after="0"/>
              <w:jc w:val="right"/>
              <w:rPr>
                <w:rFonts w:cs="Arial"/>
                <w:b/>
                <w:spacing w:val="-2"/>
                <w:sz w:val="20"/>
                <w:szCs w:val="20"/>
              </w:rPr>
            </w:pPr>
            <w:r w:rsidRPr="00013703">
              <w:rPr>
                <w:rFonts w:cs="Arial"/>
                <w:b/>
                <w:spacing w:val="-2"/>
                <w:sz w:val="20"/>
                <w:szCs w:val="20"/>
              </w:rPr>
              <w:t>13.117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A8833" w14:textId="65392C94" w:rsidR="0091117C" w:rsidRPr="00013703" w:rsidRDefault="0091117C" w:rsidP="0091117C">
            <w:pPr>
              <w:spacing w:after="0"/>
              <w:jc w:val="right"/>
              <w:rPr>
                <w:rFonts w:cs="Arial"/>
                <w:spacing w:val="-4"/>
                <w:w w:val="105"/>
                <w:sz w:val="20"/>
                <w:szCs w:val="20"/>
              </w:rPr>
            </w:pPr>
            <w:r w:rsidRPr="00013703">
              <w:rPr>
                <w:rFonts w:cs="Arial"/>
                <w:spacing w:val="-2"/>
                <w:w w:val="105"/>
                <w:sz w:val="20"/>
                <w:szCs w:val="20"/>
              </w:rPr>
              <w:t>12.179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7CBFF" w14:textId="1F1142F7" w:rsidR="0091117C" w:rsidRPr="00013703" w:rsidRDefault="0091117C" w:rsidP="0091117C">
            <w:pPr>
              <w:spacing w:after="0"/>
              <w:jc w:val="right"/>
              <w:rPr>
                <w:rFonts w:cs="Arial"/>
                <w:spacing w:val="-4"/>
                <w:w w:val="105"/>
                <w:sz w:val="20"/>
                <w:szCs w:val="20"/>
              </w:rPr>
            </w:pPr>
            <w:r w:rsidRPr="00013703">
              <w:rPr>
                <w:rFonts w:cs="Arial"/>
                <w:spacing w:val="-4"/>
                <w:w w:val="105"/>
                <w:sz w:val="20"/>
                <w:szCs w:val="20"/>
              </w:rPr>
              <w:t>7.70</w:t>
            </w:r>
          </w:p>
        </w:tc>
      </w:tr>
      <w:tr w:rsidR="0091117C" w:rsidRPr="00013703" w14:paraId="2734232A" w14:textId="77777777" w:rsidTr="00FA37B5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19F3C" w14:textId="1635BAAF" w:rsidR="0091117C" w:rsidRPr="00013703" w:rsidRDefault="0091117C" w:rsidP="0091117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013703">
              <w:rPr>
                <w:rFonts w:cs="Arial"/>
                <w:sz w:val="20"/>
                <w:szCs w:val="20"/>
              </w:rPr>
              <w:t>Gross loans and advances (</w:t>
            </w:r>
            <w:proofErr w:type="spellStart"/>
            <w:r w:rsidRPr="00013703">
              <w:rPr>
                <w:rFonts w:cs="Arial"/>
                <w:sz w:val="20"/>
                <w:szCs w:val="20"/>
              </w:rPr>
              <w:t>Rbn</w:t>
            </w:r>
            <w:proofErr w:type="spellEnd"/>
            <w:r w:rsidRPr="00013703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66942" w14:textId="5D7026F8" w:rsidR="0091117C" w:rsidRPr="00013703" w:rsidRDefault="0091117C" w:rsidP="0091117C">
            <w:pPr>
              <w:spacing w:after="0"/>
              <w:jc w:val="right"/>
              <w:rPr>
                <w:rFonts w:cs="Arial"/>
                <w:b/>
                <w:spacing w:val="-2"/>
                <w:sz w:val="20"/>
                <w:szCs w:val="20"/>
              </w:rPr>
            </w:pPr>
            <w:r w:rsidRPr="00013703">
              <w:rPr>
                <w:rFonts w:cs="Arial"/>
                <w:b/>
                <w:spacing w:val="-2"/>
                <w:sz w:val="20"/>
                <w:szCs w:val="20"/>
              </w:rPr>
              <w:t>8.606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0E61E" w14:textId="3293E5F1" w:rsidR="0091117C" w:rsidRPr="00013703" w:rsidRDefault="0091117C" w:rsidP="0091117C">
            <w:pPr>
              <w:spacing w:after="0"/>
              <w:jc w:val="right"/>
              <w:rPr>
                <w:rFonts w:cs="Arial"/>
                <w:spacing w:val="-2"/>
                <w:w w:val="105"/>
                <w:sz w:val="20"/>
                <w:szCs w:val="20"/>
              </w:rPr>
            </w:pPr>
            <w:r w:rsidRPr="00013703">
              <w:rPr>
                <w:rFonts w:cs="Arial"/>
                <w:spacing w:val="-4"/>
                <w:w w:val="105"/>
                <w:sz w:val="20"/>
                <w:szCs w:val="20"/>
              </w:rPr>
              <w:t>7.259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8B7E7" w14:textId="2ED555A8" w:rsidR="0091117C" w:rsidRPr="00013703" w:rsidRDefault="0091117C" w:rsidP="0091117C">
            <w:pPr>
              <w:spacing w:after="0"/>
              <w:jc w:val="right"/>
              <w:rPr>
                <w:rFonts w:cs="Arial"/>
                <w:spacing w:val="-4"/>
                <w:w w:val="105"/>
                <w:sz w:val="20"/>
                <w:szCs w:val="20"/>
              </w:rPr>
            </w:pPr>
            <w:r w:rsidRPr="00013703">
              <w:rPr>
                <w:rFonts w:cs="Arial"/>
                <w:spacing w:val="-4"/>
                <w:w w:val="105"/>
                <w:sz w:val="20"/>
                <w:szCs w:val="20"/>
              </w:rPr>
              <w:t>18.56</w:t>
            </w:r>
          </w:p>
        </w:tc>
      </w:tr>
      <w:tr w:rsidR="0091117C" w:rsidRPr="00013703" w14:paraId="159D9244" w14:textId="77777777" w:rsidTr="00FA37B5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7EE76" w14:textId="5900FB24" w:rsidR="0091117C" w:rsidRPr="00013703" w:rsidRDefault="0091117C" w:rsidP="0091117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013703">
              <w:rPr>
                <w:rFonts w:cs="Arial"/>
                <w:sz w:val="20"/>
                <w:szCs w:val="20"/>
              </w:rPr>
              <w:t>Deposits from customers (</w:t>
            </w:r>
            <w:proofErr w:type="spellStart"/>
            <w:r w:rsidRPr="00013703">
              <w:rPr>
                <w:rFonts w:cs="Arial"/>
                <w:sz w:val="20"/>
                <w:szCs w:val="20"/>
              </w:rPr>
              <w:t>Rbn</w:t>
            </w:r>
            <w:proofErr w:type="spellEnd"/>
            <w:r w:rsidRPr="00013703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42898" w14:textId="6EE90CF7" w:rsidR="0091117C" w:rsidRPr="00013703" w:rsidRDefault="0091117C" w:rsidP="0091117C">
            <w:pPr>
              <w:spacing w:after="0"/>
              <w:jc w:val="right"/>
              <w:rPr>
                <w:rFonts w:cs="Arial"/>
                <w:b/>
                <w:spacing w:val="-2"/>
                <w:sz w:val="20"/>
                <w:szCs w:val="20"/>
              </w:rPr>
            </w:pPr>
            <w:r w:rsidRPr="00013703">
              <w:rPr>
                <w:rFonts w:cs="Arial"/>
                <w:b/>
                <w:spacing w:val="-2"/>
                <w:sz w:val="20"/>
                <w:szCs w:val="20"/>
              </w:rPr>
              <w:t>5.233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60F49" w14:textId="7DA34554" w:rsidR="0091117C" w:rsidRPr="00013703" w:rsidRDefault="0091117C" w:rsidP="0091117C">
            <w:pPr>
              <w:spacing w:after="0"/>
              <w:jc w:val="right"/>
              <w:rPr>
                <w:rFonts w:cs="Arial"/>
                <w:spacing w:val="-4"/>
                <w:w w:val="105"/>
                <w:sz w:val="20"/>
                <w:szCs w:val="20"/>
              </w:rPr>
            </w:pPr>
            <w:r w:rsidRPr="00013703">
              <w:rPr>
                <w:rFonts w:cs="Arial"/>
                <w:spacing w:val="-4"/>
                <w:w w:val="105"/>
                <w:sz w:val="20"/>
                <w:szCs w:val="20"/>
              </w:rPr>
              <w:t>4.733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5229D" w14:textId="7FC20593" w:rsidR="0091117C" w:rsidRPr="00013703" w:rsidRDefault="0091117C" w:rsidP="0091117C">
            <w:pPr>
              <w:spacing w:after="0"/>
              <w:jc w:val="right"/>
              <w:rPr>
                <w:rFonts w:cs="Arial"/>
                <w:spacing w:val="-4"/>
                <w:w w:val="105"/>
                <w:sz w:val="20"/>
                <w:szCs w:val="20"/>
              </w:rPr>
            </w:pPr>
            <w:r w:rsidRPr="00013703">
              <w:rPr>
                <w:rFonts w:cs="Arial"/>
                <w:spacing w:val="-4"/>
                <w:w w:val="105"/>
                <w:sz w:val="20"/>
                <w:szCs w:val="20"/>
              </w:rPr>
              <w:t>10.56</w:t>
            </w:r>
          </w:p>
        </w:tc>
      </w:tr>
      <w:tr w:rsidR="0091117C" w:rsidRPr="00013703" w14:paraId="7DCB4B64" w14:textId="77777777" w:rsidTr="00FA37B5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26A20" w14:textId="3BE4B151" w:rsidR="0091117C" w:rsidRPr="00013703" w:rsidRDefault="0091117C" w:rsidP="0091117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013703">
              <w:rPr>
                <w:rFonts w:cs="Arial"/>
                <w:sz w:val="20"/>
                <w:szCs w:val="20"/>
              </w:rPr>
              <w:t>Capital adequacy ratio</w:t>
            </w:r>
            <w:r w:rsidR="0042347C" w:rsidRPr="00013703">
              <w:rPr>
                <w:rFonts w:cs="Arial"/>
                <w:sz w:val="20"/>
                <w:szCs w:val="20"/>
              </w:rPr>
              <w:t xml:space="preserve"> (%)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DF32A" w14:textId="6A01758D" w:rsidR="0091117C" w:rsidRPr="00013703" w:rsidRDefault="0091117C" w:rsidP="0091117C">
            <w:pPr>
              <w:spacing w:after="0"/>
              <w:jc w:val="right"/>
              <w:rPr>
                <w:rFonts w:cs="Arial"/>
                <w:b/>
                <w:spacing w:val="-2"/>
                <w:sz w:val="20"/>
                <w:szCs w:val="20"/>
              </w:rPr>
            </w:pPr>
            <w:r w:rsidRPr="00013703">
              <w:rPr>
                <w:rFonts w:cs="Arial"/>
                <w:b/>
                <w:spacing w:val="-2"/>
                <w:sz w:val="20"/>
                <w:szCs w:val="20"/>
              </w:rPr>
              <w:t>16.04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66C2D" w14:textId="55078700" w:rsidR="0091117C" w:rsidRPr="00013703" w:rsidRDefault="0091117C" w:rsidP="0091117C">
            <w:pPr>
              <w:spacing w:after="0"/>
              <w:jc w:val="right"/>
              <w:rPr>
                <w:rFonts w:cs="Arial"/>
                <w:spacing w:val="-4"/>
                <w:w w:val="105"/>
                <w:sz w:val="20"/>
                <w:szCs w:val="20"/>
              </w:rPr>
            </w:pPr>
            <w:r w:rsidRPr="00013703">
              <w:rPr>
                <w:rFonts w:cs="Arial"/>
                <w:spacing w:val="-4"/>
                <w:w w:val="105"/>
                <w:sz w:val="20"/>
                <w:szCs w:val="20"/>
              </w:rPr>
              <w:t>17.29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0ACA0" w14:textId="1CD2F09B" w:rsidR="0091117C" w:rsidRPr="00013703" w:rsidRDefault="0091117C" w:rsidP="0091117C">
            <w:pPr>
              <w:spacing w:after="0"/>
              <w:jc w:val="right"/>
              <w:rPr>
                <w:rFonts w:cs="Arial"/>
                <w:spacing w:val="-4"/>
                <w:w w:val="105"/>
                <w:sz w:val="20"/>
                <w:szCs w:val="20"/>
              </w:rPr>
            </w:pPr>
            <w:r w:rsidRPr="00013703">
              <w:rPr>
                <w:rFonts w:cs="Arial"/>
                <w:spacing w:val="-2"/>
                <w:sz w:val="20"/>
                <w:szCs w:val="20"/>
              </w:rPr>
              <w:t>(7.23)</w:t>
            </w:r>
          </w:p>
        </w:tc>
      </w:tr>
      <w:tr w:rsidR="0091117C" w:rsidRPr="00013703" w14:paraId="28CDF414" w14:textId="77777777" w:rsidTr="00FA37B5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0BC5B" w14:textId="00197265" w:rsidR="0091117C" w:rsidRPr="00013703" w:rsidRDefault="0091117C" w:rsidP="0091117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013703">
              <w:rPr>
                <w:rFonts w:cs="Arial"/>
                <w:sz w:val="20"/>
                <w:szCs w:val="20"/>
              </w:rPr>
              <w:t>Group coverage ratio (%)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6E97F" w14:textId="6B4638F9" w:rsidR="0091117C" w:rsidRPr="00013703" w:rsidRDefault="0091117C" w:rsidP="0091117C">
            <w:pPr>
              <w:spacing w:after="0"/>
              <w:jc w:val="right"/>
              <w:rPr>
                <w:rFonts w:cs="Arial"/>
                <w:b/>
                <w:spacing w:val="-2"/>
                <w:sz w:val="20"/>
                <w:szCs w:val="20"/>
              </w:rPr>
            </w:pPr>
            <w:r w:rsidRPr="00013703">
              <w:rPr>
                <w:rFonts w:cs="Arial"/>
                <w:b/>
                <w:spacing w:val="-4"/>
                <w:sz w:val="20"/>
                <w:szCs w:val="20"/>
              </w:rPr>
              <w:t>5.08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8591F" w14:textId="00048FB7" w:rsidR="0091117C" w:rsidRPr="00013703" w:rsidRDefault="0091117C" w:rsidP="0091117C">
            <w:pPr>
              <w:spacing w:after="0"/>
              <w:jc w:val="right"/>
              <w:rPr>
                <w:rFonts w:cs="Arial"/>
                <w:spacing w:val="-4"/>
                <w:w w:val="105"/>
                <w:sz w:val="20"/>
                <w:szCs w:val="20"/>
              </w:rPr>
            </w:pPr>
            <w:r w:rsidRPr="00013703">
              <w:rPr>
                <w:rFonts w:cs="Arial"/>
                <w:spacing w:val="-4"/>
                <w:w w:val="105"/>
                <w:sz w:val="20"/>
                <w:szCs w:val="20"/>
              </w:rPr>
              <w:t>6.02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FC5A5" w14:textId="4A0A05EB" w:rsidR="0091117C" w:rsidRPr="00013703" w:rsidRDefault="0091117C" w:rsidP="0091117C">
            <w:pPr>
              <w:spacing w:after="0"/>
              <w:jc w:val="right"/>
              <w:rPr>
                <w:rFonts w:cs="Arial"/>
                <w:spacing w:val="-2"/>
                <w:sz w:val="20"/>
                <w:szCs w:val="20"/>
              </w:rPr>
            </w:pPr>
            <w:r w:rsidRPr="00013703">
              <w:rPr>
                <w:rFonts w:cs="Arial"/>
                <w:spacing w:val="-2"/>
                <w:sz w:val="20"/>
                <w:szCs w:val="20"/>
              </w:rPr>
              <w:t>(15.61)</w:t>
            </w:r>
          </w:p>
        </w:tc>
      </w:tr>
      <w:tr w:rsidR="0091117C" w:rsidRPr="0091117C" w14:paraId="44810A5C" w14:textId="77777777" w:rsidTr="00FA37B5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5E99D" w14:textId="257731DB" w:rsidR="0091117C" w:rsidRPr="00013703" w:rsidRDefault="0091117C" w:rsidP="0091117C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013703">
              <w:rPr>
                <w:rFonts w:cs="Arial"/>
                <w:sz w:val="20"/>
                <w:szCs w:val="20"/>
              </w:rPr>
              <w:t>Credit loss ratio (bps)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FFA8F" w14:textId="68C06E81" w:rsidR="0091117C" w:rsidRPr="00013703" w:rsidRDefault="0091117C" w:rsidP="0091117C">
            <w:pPr>
              <w:spacing w:after="0"/>
              <w:jc w:val="right"/>
              <w:rPr>
                <w:rFonts w:cs="Arial"/>
                <w:b/>
                <w:spacing w:val="-4"/>
                <w:sz w:val="20"/>
                <w:szCs w:val="20"/>
              </w:rPr>
            </w:pPr>
            <w:r w:rsidRPr="00013703">
              <w:rPr>
                <w:rFonts w:cs="Arial"/>
                <w:b/>
                <w:spacing w:val="-5"/>
                <w:sz w:val="20"/>
                <w:szCs w:val="20"/>
              </w:rPr>
              <w:t>62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C2794" w14:textId="395C43CC" w:rsidR="0091117C" w:rsidRPr="00013703" w:rsidRDefault="0091117C" w:rsidP="0091117C">
            <w:pPr>
              <w:spacing w:after="0"/>
              <w:jc w:val="right"/>
              <w:rPr>
                <w:rFonts w:cs="Arial"/>
                <w:spacing w:val="-4"/>
                <w:w w:val="105"/>
                <w:sz w:val="20"/>
                <w:szCs w:val="20"/>
              </w:rPr>
            </w:pPr>
            <w:r w:rsidRPr="00013703">
              <w:rPr>
                <w:rFonts w:cs="Arial"/>
                <w:spacing w:val="-5"/>
                <w:w w:val="105"/>
                <w:sz w:val="20"/>
                <w:szCs w:val="20"/>
              </w:rPr>
              <w:t>118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71443" w14:textId="23A1C965" w:rsidR="0091117C" w:rsidRPr="0091117C" w:rsidRDefault="0091117C" w:rsidP="0091117C">
            <w:pPr>
              <w:spacing w:after="0"/>
              <w:jc w:val="right"/>
              <w:rPr>
                <w:rFonts w:cs="Arial"/>
                <w:spacing w:val="-2"/>
                <w:sz w:val="20"/>
                <w:szCs w:val="20"/>
              </w:rPr>
            </w:pPr>
            <w:r w:rsidRPr="00013703">
              <w:rPr>
                <w:rFonts w:cs="Arial"/>
                <w:spacing w:val="-2"/>
                <w:sz w:val="20"/>
                <w:szCs w:val="20"/>
              </w:rPr>
              <w:t>(47.46)</w:t>
            </w:r>
          </w:p>
        </w:tc>
      </w:tr>
    </w:tbl>
    <w:p w14:paraId="6101329F" w14:textId="77777777" w:rsidR="00E5072D" w:rsidRDefault="00E5072D" w:rsidP="00E5072D">
      <w:pPr>
        <w:spacing w:after="0"/>
        <w:rPr>
          <w:i/>
          <w:iCs/>
          <w:sz w:val="18"/>
          <w:szCs w:val="18"/>
          <w:vertAlign w:val="superscript"/>
        </w:rPr>
      </w:pPr>
    </w:p>
    <w:p w14:paraId="0B4B598D" w14:textId="64B72487" w:rsidR="00E5072D" w:rsidRPr="0045752C" w:rsidRDefault="00E5072D" w:rsidP="00E5072D">
      <w:pPr>
        <w:spacing w:after="0"/>
        <w:rPr>
          <w:rFonts w:cs="Arial"/>
          <w:i/>
          <w:iCs/>
          <w:sz w:val="18"/>
          <w:szCs w:val="18"/>
          <w:lang w:val="en-ZA"/>
        </w:rPr>
      </w:pPr>
      <w:r>
        <w:rPr>
          <w:i/>
          <w:iCs/>
          <w:sz w:val="18"/>
          <w:szCs w:val="18"/>
          <w:vertAlign w:val="superscript"/>
        </w:rPr>
        <w:t>1</w:t>
      </w:r>
      <w:r w:rsidRPr="0045752C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  <w:lang w:val="en-ZA"/>
        </w:rPr>
        <w:t>D</w:t>
      </w:r>
      <w:proofErr w:type="spellStart"/>
      <w:r w:rsidRPr="0045752C">
        <w:rPr>
          <w:i/>
          <w:iCs/>
          <w:sz w:val="18"/>
          <w:szCs w:val="18"/>
        </w:rPr>
        <w:t>uring</w:t>
      </w:r>
      <w:proofErr w:type="spellEnd"/>
      <w:r w:rsidRPr="0045752C">
        <w:rPr>
          <w:i/>
          <w:iCs/>
          <w:sz w:val="18"/>
          <w:szCs w:val="18"/>
        </w:rPr>
        <w:t xml:space="preserve"> the period under review, management became aware that certain prior period transactions may not have been correctly accounted for. A detailed review confirmed that there were errors affecting prior periods which required the restatement and/or reclassification as set out in Note 49 of the Group Annual Financial Statements.</w:t>
      </w:r>
    </w:p>
    <w:p w14:paraId="336DFAB7" w14:textId="77777777" w:rsidR="00496FF8" w:rsidRPr="002D3852" w:rsidRDefault="00496FF8" w:rsidP="00BF572E">
      <w:pPr>
        <w:spacing w:after="0"/>
        <w:jc w:val="both"/>
        <w:rPr>
          <w:rFonts w:cs="Arial"/>
        </w:rPr>
      </w:pPr>
    </w:p>
    <w:p w14:paraId="3AE5CED0" w14:textId="3EA9CBA7" w:rsidR="00E312D3" w:rsidRPr="002D3852" w:rsidRDefault="00E312D3" w:rsidP="00BF572E">
      <w:pPr>
        <w:spacing w:after="0"/>
        <w:jc w:val="both"/>
        <w:rPr>
          <w:rFonts w:cs="Arial"/>
        </w:rPr>
      </w:pPr>
    </w:p>
    <w:p w14:paraId="25B59E71" w14:textId="1641BFFB" w:rsidR="0091117C" w:rsidRPr="0091117C" w:rsidRDefault="0091117C" w:rsidP="0091117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lang w:val="en-ZA"/>
        </w:rPr>
      </w:pPr>
      <w:r w:rsidRPr="0091117C">
        <w:rPr>
          <w:rFonts w:cs="Arial"/>
          <w:b/>
          <w:bCs/>
          <w:lang w:val="en-ZA"/>
        </w:rPr>
        <w:t xml:space="preserve">Loan growth of </w:t>
      </w:r>
      <w:r>
        <w:rPr>
          <w:rFonts w:cs="Arial"/>
          <w:b/>
          <w:bCs/>
          <w:lang w:val="en-ZA"/>
        </w:rPr>
        <w:t>R</w:t>
      </w:r>
      <w:r w:rsidRPr="0091117C">
        <w:rPr>
          <w:rFonts w:cs="Arial"/>
          <w:b/>
          <w:bCs/>
          <w:lang w:val="en-ZA"/>
        </w:rPr>
        <w:t>1.</w:t>
      </w:r>
      <w:r w:rsidR="004A4B32">
        <w:rPr>
          <w:rFonts w:cs="Arial"/>
          <w:b/>
          <w:bCs/>
          <w:lang w:val="en-ZA"/>
        </w:rPr>
        <w:t>35</w:t>
      </w:r>
      <w:r w:rsidRPr="0091117C">
        <w:rPr>
          <w:rFonts w:cs="Arial"/>
          <w:b/>
          <w:bCs/>
          <w:lang w:val="en-ZA"/>
        </w:rPr>
        <w:t xml:space="preserve"> billion</w:t>
      </w:r>
      <w:r>
        <w:rPr>
          <w:rFonts w:cs="Arial"/>
          <w:b/>
          <w:bCs/>
          <w:lang w:val="en-ZA"/>
        </w:rPr>
        <w:t xml:space="preserve"> </w:t>
      </w:r>
      <w:r w:rsidRPr="0091117C">
        <w:rPr>
          <w:rFonts w:cs="Arial"/>
          <w:b/>
          <w:bCs/>
          <w:lang w:val="en-ZA"/>
        </w:rPr>
        <w:t>to</w:t>
      </w:r>
      <w:r>
        <w:rPr>
          <w:rFonts w:cs="Arial"/>
          <w:b/>
          <w:bCs/>
          <w:lang w:val="en-ZA"/>
        </w:rPr>
        <w:t xml:space="preserve"> SA</w:t>
      </w:r>
      <w:r w:rsidRPr="0091117C">
        <w:rPr>
          <w:rFonts w:cs="Arial"/>
          <w:b/>
          <w:bCs/>
          <w:lang w:val="en-ZA"/>
        </w:rPr>
        <w:t xml:space="preserve"> businesses</w:t>
      </w:r>
    </w:p>
    <w:p w14:paraId="130EA432" w14:textId="77777777" w:rsidR="0091117C" w:rsidRDefault="0091117C" w:rsidP="0091117C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</w:p>
    <w:p w14:paraId="7725F14E" w14:textId="39FB9E49" w:rsidR="0091117C" w:rsidRPr="0091117C" w:rsidRDefault="0091117C" w:rsidP="0091117C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  <w:r w:rsidRPr="0091117C">
        <w:rPr>
          <w:rFonts w:cs="Arial"/>
          <w:lang w:val="en-ZA"/>
        </w:rPr>
        <w:t>Over the last couple of years, Sasfin has been strengthening its capacity to grow loans to</w:t>
      </w:r>
      <w:r w:rsidR="00BD3E72">
        <w:rPr>
          <w:rFonts w:cs="Arial"/>
          <w:lang w:val="en-ZA"/>
        </w:rPr>
        <w:t xml:space="preserve"> </w:t>
      </w:r>
      <w:r w:rsidRPr="0091117C">
        <w:rPr>
          <w:rFonts w:cs="Arial"/>
          <w:lang w:val="en-ZA"/>
        </w:rPr>
        <w:t>businesses. Emerging out of COVID-19, Sasfin has seen record growth in loans. Sasfin provides a</w:t>
      </w:r>
      <w:r>
        <w:rPr>
          <w:rFonts w:cs="Arial"/>
          <w:lang w:val="en-ZA"/>
        </w:rPr>
        <w:t xml:space="preserve"> </w:t>
      </w:r>
      <w:r w:rsidRPr="0091117C">
        <w:rPr>
          <w:rFonts w:cs="Arial"/>
          <w:lang w:val="en-ZA"/>
        </w:rPr>
        <w:t>wide range of credit solutions to businesses including SMEs. This includes entering into a successful</w:t>
      </w:r>
      <w:r>
        <w:rPr>
          <w:rFonts w:cs="Arial"/>
          <w:lang w:val="en-ZA"/>
        </w:rPr>
        <w:t xml:space="preserve"> </w:t>
      </w:r>
      <w:r w:rsidR="00E52699">
        <w:rPr>
          <w:rFonts w:cs="Arial"/>
          <w:lang w:val="en-ZA"/>
        </w:rPr>
        <w:t>US</w:t>
      </w:r>
      <w:r w:rsidRPr="0091117C">
        <w:rPr>
          <w:rFonts w:cs="Arial"/>
          <w:lang w:val="en-ZA"/>
        </w:rPr>
        <w:t>$50 million arrangement with the Dutch Entrepreneurial Development Bank (FMO), to provide loans</w:t>
      </w:r>
      <w:r>
        <w:rPr>
          <w:rFonts w:cs="Arial"/>
          <w:lang w:val="en-ZA"/>
        </w:rPr>
        <w:t xml:space="preserve"> </w:t>
      </w:r>
      <w:r w:rsidRPr="0091117C">
        <w:rPr>
          <w:rFonts w:cs="Arial"/>
          <w:lang w:val="en-ZA"/>
        </w:rPr>
        <w:t>to women, youth and COVID-19-impacted businesses through the NASIRA loan program.</w:t>
      </w:r>
    </w:p>
    <w:p w14:paraId="5166E09B" w14:textId="0826AE4F" w:rsidR="0091117C" w:rsidRDefault="0091117C" w:rsidP="00BF572E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lang w:val="en-ZA"/>
        </w:rPr>
      </w:pPr>
    </w:p>
    <w:p w14:paraId="4EF9D4B4" w14:textId="49F0740A" w:rsidR="0091117C" w:rsidRDefault="0091117C" w:rsidP="00BF572E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lang w:val="en-ZA"/>
        </w:rPr>
      </w:pPr>
      <w:r>
        <w:rPr>
          <w:rFonts w:cs="Arial"/>
          <w:b/>
          <w:bCs/>
          <w:lang w:val="en-ZA"/>
        </w:rPr>
        <w:t>Business Segment overview</w:t>
      </w:r>
    </w:p>
    <w:p w14:paraId="28A074EF" w14:textId="2EB2AB60" w:rsidR="0091117C" w:rsidRDefault="0091117C" w:rsidP="00BF572E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lang w:val="en-ZA"/>
        </w:rPr>
      </w:pPr>
    </w:p>
    <w:p w14:paraId="17653E58" w14:textId="6B888DEE" w:rsidR="0091117C" w:rsidRPr="00685753" w:rsidRDefault="0091117C" w:rsidP="00BF572E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  <w:lang w:val="en-ZA"/>
        </w:rPr>
      </w:pPr>
      <w:r w:rsidRPr="00685753">
        <w:rPr>
          <w:rFonts w:cs="Arial"/>
          <w:i/>
          <w:iCs/>
          <w:lang w:val="en-ZA"/>
        </w:rPr>
        <w:t>Asset Finance</w:t>
      </w:r>
    </w:p>
    <w:p w14:paraId="70B9E4EF" w14:textId="77777777" w:rsidR="00685753" w:rsidRDefault="00685753" w:rsidP="00BF572E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lang w:val="en-ZA"/>
        </w:rPr>
      </w:pPr>
    </w:p>
    <w:p w14:paraId="469A3072" w14:textId="1A5EF248" w:rsidR="0091117C" w:rsidRDefault="00685753" w:rsidP="00BF572E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  <w:bookmarkStart w:id="0" w:name="_Hlk114213988"/>
      <w:r>
        <w:rPr>
          <w:rFonts w:cs="Arial"/>
          <w:lang w:val="en-ZA"/>
        </w:rPr>
        <w:t xml:space="preserve">Asset Finance </w:t>
      </w:r>
      <w:r w:rsidRPr="00685753">
        <w:rPr>
          <w:rFonts w:cs="Arial"/>
          <w:lang w:val="en-ZA"/>
        </w:rPr>
        <w:t xml:space="preserve">Total Income </w:t>
      </w:r>
      <w:r>
        <w:rPr>
          <w:rFonts w:cs="Arial"/>
          <w:lang w:val="en-ZA"/>
        </w:rPr>
        <w:t xml:space="preserve">was </w:t>
      </w:r>
      <w:r w:rsidRPr="00685753">
        <w:rPr>
          <w:rFonts w:cs="Arial"/>
          <w:lang w:val="en-ZA"/>
        </w:rPr>
        <w:t>R605m (2021: R609m</w:t>
      </w:r>
      <w:r w:rsidR="0042347C" w:rsidRPr="00013703">
        <w:rPr>
          <w:rFonts w:cs="Arial"/>
          <w:vertAlign w:val="superscript"/>
          <w:lang w:val="en-ZA"/>
        </w:rPr>
        <w:t>1</w:t>
      </w:r>
      <w:r w:rsidRPr="00685753">
        <w:rPr>
          <w:rFonts w:cs="Arial"/>
          <w:lang w:val="en-ZA"/>
        </w:rPr>
        <w:t>)</w:t>
      </w:r>
      <w:r>
        <w:rPr>
          <w:rFonts w:cs="Arial"/>
          <w:lang w:val="en-ZA"/>
        </w:rPr>
        <w:t>, with a profit of R255m (2021:</w:t>
      </w:r>
      <w:r w:rsidR="00844C23">
        <w:rPr>
          <w:rFonts w:cs="Arial"/>
          <w:lang w:val="en-ZA"/>
        </w:rPr>
        <w:t xml:space="preserve"> </w:t>
      </w:r>
      <w:r>
        <w:rPr>
          <w:rFonts w:cs="Arial"/>
          <w:lang w:val="en-ZA"/>
        </w:rPr>
        <w:t>R289m</w:t>
      </w:r>
      <w:r w:rsidR="0042347C" w:rsidRPr="00013703">
        <w:rPr>
          <w:rFonts w:cs="Arial"/>
          <w:vertAlign w:val="superscript"/>
          <w:lang w:val="en-ZA"/>
        </w:rPr>
        <w:t>1</w:t>
      </w:r>
      <w:r>
        <w:rPr>
          <w:rFonts w:cs="Arial"/>
          <w:lang w:val="en-ZA"/>
        </w:rPr>
        <w:t xml:space="preserve">) for the financial year ended 30 June 2022. </w:t>
      </w:r>
    </w:p>
    <w:p w14:paraId="3098A898" w14:textId="77777777" w:rsidR="00685753" w:rsidRDefault="00685753" w:rsidP="00BF572E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</w:p>
    <w:bookmarkEnd w:id="0"/>
    <w:p w14:paraId="3CAF4FC6" w14:textId="723AB224" w:rsidR="00685753" w:rsidRPr="00685753" w:rsidRDefault="0091117C" w:rsidP="00BF572E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  <w:r w:rsidRPr="00685753">
        <w:rPr>
          <w:rFonts w:cs="Arial"/>
          <w:lang w:val="en-ZA"/>
        </w:rPr>
        <w:t>We see continued growth in this business as we increasingly finance new asset</w:t>
      </w:r>
      <w:r w:rsidR="00685753" w:rsidRPr="00685753">
        <w:rPr>
          <w:rFonts w:cs="Arial"/>
          <w:lang w:val="en-ZA"/>
        </w:rPr>
        <w:t xml:space="preserve"> </w:t>
      </w:r>
      <w:r w:rsidRPr="00685753">
        <w:rPr>
          <w:rFonts w:cs="Arial"/>
          <w:lang w:val="en-ZA"/>
        </w:rPr>
        <w:t>types and roll out new products to</w:t>
      </w:r>
      <w:r w:rsidR="00685753" w:rsidRPr="00685753">
        <w:rPr>
          <w:rFonts w:cs="Arial"/>
          <w:lang w:val="en-ZA"/>
        </w:rPr>
        <w:t xml:space="preserve"> </w:t>
      </w:r>
      <w:r w:rsidRPr="00685753">
        <w:rPr>
          <w:rFonts w:cs="Arial"/>
          <w:lang w:val="en-ZA"/>
        </w:rPr>
        <w:t>support our clients.</w:t>
      </w:r>
      <w:r w:rsidR="00685753" w:rsidRPr="00685753">
        <w:rPr>
          <w:rFonts w:cs="Arial"/>
          <w:lang w:val="en-ZA"/>
        </w:rPr>
        <w:t xml:space="preserve"> </w:t>
      </w:r>
      <w:r w:rsidRPr="00685753">
        <w:rPr>
          <w:rFonts w:cs="Arial"/>
          <w:lang w:val="en-ZA"/>
        </w:rPr>
        <w:t xml:space="preserve">While </w:t>
      </w:r>
      <w:r w:rsidR="001A7E32">
        <w:rPr>
          <w:rFonts w:cs="Arial"/>
          <w:lang w:val="en-ZA"/>
        </w:rPr>
        <w:t>l</w:t>
      </w:r>
      <w:r w:rsidRPr="00685753">
        <w:rPr>
          <w:rFonts w:cs="Arial"/>
          <w:lang w:val="en-ZA"/>
        </w:rPr>
        <w:t>oan growth exceeded pre-COVID-19 levels, performance was</w:t>
      </w:r>
      <w:r w:rsidR="00685753" w:rsidRPr="00685753">
        <w:rPr>
          <w:rFonts w:cs="Arial"/>
          <w:lang w:val="en-ZA"/>
        </w:rPr>
        <w:t xml:space="preserve"> </w:t>
      </w:r>
      <w:r w:rsidRPr="00685753">
        <w:rPr>
          <w:rFonts w:cs="Arial"/>
          <w:lang w:val="en-ZA"/>
        </w:rPr>
        <w:t>impacted by higher interest rates</w:t>
      </w:r>
      <w:r w:rsidR="001A7E32">
        <w:rPr>
          <w:rFonts w:cs="Arial"/>
          <w:lang w:val="en-ZA"/>
        </w:rPr>
        <w:t>,</w:t>
      </w:r>
      <w:r w:rsidRPr="00685753">
        <w:rPr>
          <w:rFonts w:cs="Arial"/>
          <w:lang w:val="en-ZA"/>
        </w:rPr>
        <w:t xml:space="preserve"> which</w:t>
      </w:r>
      <w:r w:rsidR="00685753" w:rsidRPr="00685753">
        <w:rPr>
          <w:rFonts w:cs="Arial"/>
          <w:lang w:val="en-ZA"/>
        </w:rPr>
        <w:t xml:space="preserve"> </w:t>
      </w:r>
      <w:r w:rsidRPr="00685753">
        <w:rPr>
          <w:rFonts w:cs="Arial"/>
          <w:lang w:val="en-ZA"/>
        </w:rPr>
        <w:t>impacted fixed rate deals, as well as</w:t>
      </w:r>
      <w:r w:rsidR="00685753" w:rsidRPr="00685753">
        <w:rPr>
          <w:rFonts w:cs="Arial"/>
          <w:lang w:val="en-ZA"/>
        </w:rPr>
        <w:t xml:space="preserve"> </w:t>
      </w:r>
      <w:r w:rsidRPr="00685753">
        <w:rPr>
          <w:rFonts w:cs="Arial"/>
          <w:lang w:val="en-ZA"/>
        </w:rPr>
        <w:t xml:space="preserve">increased costs due to </w:t>
      </w:r>
      <w:r w:rsidR="0042347C">
        <w:rPr>
          <w:rFonts w:cs="Arial"/>
          <w:lang w:val="en-ZA"/>
        </w:rPr>
        <w:t xml:space="preserve">the creation of certain specialised operational capabilities </w:t>
      </w:r>
      <w:r w:rsidRPr="00685753">
        <w:rPr>
          <w:rFonts w:cs="Arial"/>
          <w:lang w:val="en-ZA"/>
        </w:rPr>
        <w:t>in the Pillar</w:t>
      </w:r>
      <w:r w:rsidR="00685753" w:rsidRPr="00685753">
        <w:rPr>
          <w:rFonts w:cs="Arial"/>
          <w:lang w:val="en-ZA"/>
        </w:rPr>
        <w:t xml:space="preserve">. </w:t>
      </w:r>
    </w:p>
    <w:p w14:paraId="4D137215" w14:textId="728F1908" w:rsidR="00685753" w:rsidRDefault="00685753" w:rsidP="00BF572E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lang w:val="en-ZA"/>
        </w:rPr>
      </w:pPr>
    </w:p>
    <w:p w14:paraId="76C03945" w14:textId="73C37292" w:rsidR="00685753" w:rsidRPr="00685753" w:rsidRDefault="00685753" w:rsidP="00BF572E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  <w:lang w:val="en-ZA"/>
        </w:rPr>
      </w:pPr>
      <w:r w:rsidRPr="00685753">
        <w:rPr>
          <w:rFonts w:cs="Arial"/>
          <w:i/>
          <w:iCs/>
          <w:lang w:val="en-ZA"/>
        </w:rPr>
        <w:t xml:space="preserve">Business and Commercial Banking </w:t>
      </w:r>
      <w:r w:rsidR="001C6E1B">
        <w:rPr>
          <w:rFonts w:cs="Arial"/>
          <w:i/>
          <w:iCs/>
          <w:lang w:val="en-ZA"/>
        </w:rPr>
        <w:t>("BCB")</w:t>
      </w:r>
    </w:p>
    <w:p w14:paraId="79B53C28" w14:textId="77777777" w:rsidR="00685753" w:rsidRDefault="00685753" w:rsidP="00685753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</w:p>
    <w:p w14:paraId="2D7B2292" w14:textId="387512A9" w:rsidR="00685753" w:rsidRDefault="00685753" w:rsidP="00685753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  <w:bookmarkStart w:id="1" w:name="_Hlk114214281"/>
      <w:r>
        <w:rPr>
          <w:rFonts w:cs="Arial"/>
          <w:lang w:val="en-ZA"/>
        </w:rPr>
        <w:t xml:space="preserve">Business and Commercial Banking's </w:t>
      </w:r>
      <w:r w:rsidRPr="00685753">
        <w:rPr>
          <w:rFonts w:cs="Arial"/>
          <w:lang w:val="en-ZA"/>
        </w:rPr>
        <w:t xml:space="preserve">Total Income </w:t>
      </w:r>
      <w:r>
        <w:rPr>
          <w:rFonts w:cs="Arial"/>
          <w:lang w:val="en-ZA"/>
        </w:rPr>
        <w:t xml:space="preserve">was </w:t>
      </w:r>
      <w:r w:rsidRPr="00685753">
        <w:rPr>
          <w:rFonts w:cs="Arial"/>
          <w:lang w:val="en-ZA"/>
        </w:rPr>
        <w:t>R</w:t>
      </w:r>
      <w:r>
        <w:rPr>
          <w:rFonts w:cs="Arial"/>
          <w:lang w:val="en-ZA"/>
        </w:rPr>
        <w:t>303</w:t>
      </w:r>
      <w:r w:rsidRPr="00685753">
        <w:rPr>
          <w:rFonts w:cs="Arial"/>
          <w:lang w:val="en-ZA"/>
        </w:rPr>
        <w:t>m (2021: R</w:t>
      </w:r>
      <w:r>
        <w:rPr>
          <w:rFonts w:cs="Arial"/>
          <w:lang w:val="en-ZA"/>
        </w:rPr>
        <w:t>268</w:t>
      </w:r>
      <w:r w:rsidRPr="00685753">
        <w:rPr>
          <w:rFonts w:cs="Arial"/>
          <w:lang w:val="en-ZA"/>
        </w:rPr>
        <w:t>m</w:t>
      </w:r>
      <w:r w:rsidR="0042347C" w:rsidRPr="00013703">
        <w:rPr>
          <w:rFonts w:cs="Arial"/>
          <w:vertAlign w:val="superscript"/>
          <w:lang w:val="en-ZA"/>
        </w:rPr>
        <w:t>1</w:t>
      </w:r>
      <w:r w:rsidRPr="00685753">
        <w:rPr>
          <w:rFonts w:cs="Arial"/>
          <w:lang w:val="en-ZA"/>
        </w:rPr>
        <w:t>)</w:t>
      </w:r>
      <w:r>
        <w:rPr>
          <w:rFonts w:cs="Arial"/>
          <w:lang w:val="en-ZA"/>
        </w:rPr>
        <w:t>, with a loss of R37m (2021:R49m</w:t>
      </w:r>
      <w:r w:rsidR="0042347C">
        <w:rPr>
          <w:rFonts w:cs="Arial"/>
          <w:vertAlign w:val="superscript"/>
          <w:lang w:val="en-ZA"/>
        </w:rPr>
        <w:t>1</w:t>
      </w:r>
      <w:r w:rsidR="009C30E7">
        <w:rPr>
          <w:rFonts w:cs="Arial"/>
          <w:vertAlign w:val="superscript"/>
          <w:lang w:val="en-ZA"/>
        </w:rPr>
        <w:t xml:space="preserve"> </w:t>
      </w:r>
      <w:r w:rsidR="009C30E7" w:rsidRPr="009C30E7">
        <w:rPr>
          <w:rFonts w:cs="Arial"/>
          <w:lang w:val="en-ZA"/>
        </w:rPr>
        <w:t>loss</w:t>
      </w:r>
      <w:r>
        <w:rPr>
          <w:rFonts w:cs="Arial"/>
          <w:lang w:val="en-ZA"/>
        </w:rPr>
        <w:t xml:space="preserve">) for the financial year ended 30 June 2022. </w:t>
      </w:r>
    </w:p>
    <w:bookmarkEnd w:id="1"/>
    <w:p w14:paraId="3FBDE1AC" w14:textId="77777777" w:rsidR="00685753" w:rsidRDefault="00685753" w:rsidP="00685753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</w:p>
    <w:p w14:paraId="67EA091D" w14:textId="36F0EC5B" w:rsidR="00685753" w:rsidRDefault="00685753" w:rsidP="00685753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  <w:r w:rsidRPr="00685753">
        <w:rPr>
          <w:rFonts w:cs="Arial"/>
          <w:lang w:val="en-ZA"/>
        </w:rPr>
        <w:t>The improvement in the operating loss was</w:t>
      </w:r>
      <w:r>
        <w:rPr>
          <w:rFonts w:cs="Arial"/>
          <w:lang w:val="en-ZA"/>
        </w:rPr>
        <w:t xml:space="preserve"> </w:t>
      </w:r>
      <w:r w:rsidRPr="00685753">
        <w:rPr>
          <w:rFonts w:cs="Arial"/>
          <w:lang w:val="en-ZA"/>
        </w:rPr>
        <w:t xml:space="preserve">due to total income growing 13.4% </w:t>
      </w:r>
      <w:r w:rsidR="00483097">
        <w:rPr>
          <w:rFonts w:cs="Arial"/>
          <w:lang w:val="en-ZA"/>
        </w:rPr>
        <w:t>resulting from</w:t>
      </w:r>
      <w:r w:rsidRPr="00685753">
        <w:rPr>
          <w:rFonts w:cs="Arial"/>
          <w:lang w:val="en-ZA"/>
        </w:rPr>
        <w:t xml:space="preserve"> strong growth of 26.2% in loans</w:t>
      </w:r>
      <w:r>
        <w:rPr>
          <w:rFonts w:cs="Arial"/>
          <w:lang w:val="en-ZA"/>
        </w:rPr>
        <w:t xml:space="preserve"> </w:t>
      </w:r>
      <w:r w:rsidRPr="00685753">
        <w:rPr>
          <w:rFonts w:cs="Arial"/>
          <w:lang w:val="en-ZA"/>
        </w:rPr>
        <w:t>and advances.</w:t>
      </w:r>
      <w:r>
        <w:rPr>
          <w:rFonts w:cs="Arial"/>
          <w:lang w:val="en-ZA"/>
        </w:rPr>
        <w:t xml:space="preserve"> </w:t>
      </w:r>
      <w:r w:rsidRPr="00685753">
        <w:rPr>
          <w:rFonts w:cs="Arial"/>
          <w:lang w:val="en-ZA"/>
        </w:rPr>
        <w:t>This new integrated Pillar, under</w:t>
      </w:r>
      <w:r>
        <w:rPr>
          <w:rFonts w:cs="Arial"/>
          <w:lang w:val="en-ZA"/>
        </w:rPr>
        <w:t xml:space="preserve"> </w:t>
      </w:r>
      <w:r w:rsidRPr="00685753">
        <w:rPr>
          <w:rFonts w:cs="Arial"/>
          <w:lang w:val="en-ZA"/>
        </w:rPr>
        <w:t>experienced leadership, is committed</w:t>
      </w:r>
      <w:r>
        <w:rPr>
          <w:rFonts w:cs="Arial"/>
          <w:lang w:val="en-ZA"/>
        </w:rPr>
        <w:t xml:space="preserve"> </w:t>
      </w:r>
      <w:r w:rsidRPr="00685753">
        <w:rPr>
          <w:rFonts w:cs="Arial"/>
          <w:lang w:val="en-ZA"/>
        </w:rPr>
        <w:t>to supporting the growth of businesses</w:t>
      </w:r>
      <w:r>
        <w:rPr>
          <w:rFonts w:cs="Arial"/>
          <w:lang w:val="en-ZA"/>
        </w:rPr>
        <w:t xml:space="preserve"> </w:t>
      </w:r>
      <w:r w:rsidRPr="00685753">
        <w:rPr>
          <w:rFonts w:cs="Arial"/>
          <w:lang w:val="en-ZA"/>
        </w:rPr>
        <w:t>in South Africa. The Pillar combines</w:t>
      </w:r>
      <w:r>
        <w:rPr>
          <w:rFonts w:cs="Arial"/>
          <w:lang w:val="en-ZA"/>
        </w:rPr>
        <w:t xml:space="preserve"> </w:t>
      </w:r>
      <w:r w:rsidRPr="00685753">
        <w:rPr>
          <w:rFonts w:cs="Arial"/>
          <w:lang w:val="en-ZA"/>
        </w:rPr>
        <w:t>excellent customised lending solutions</w:t>
      </w:r>
      <w:r>
        <w:rPr>
          <w:rFonts w:cs="Arial"/>
          <w:lang w:val="en-ZA"/>
        </w:rPr>
        <w:t xml:space="preserve"> </w:t>
      </w:r>
      <w:r w:rsidRPr="00685753">
        <w:rPr>
          <w:rFonts w:cs="Arial"/>
          <w:lang w:val="en-ZA"/>
        </w:rPr>
        <w:t>and digital capabilities to provide</w:t>
      </w:r>
      <w:r>
        <w:rPr>
          <w:rFonts w:cs="Arial"/>
          <w:lang w:val="en-ZA"/>
        </w:rPr>
        <w:t xml:space="preserve"> </w:t>
      </w:r>
      <w:r w:rsidRPr="00685753">
        <w:rPr>
          <w:rFonts w:cs="Arial"/>
          <w:lang w:val="en-ZA"/>
        </w:rPr>
        <w:t>a holistic client experience. This is</w:t>
      </w:r>
      <w:r>
        <w:rPr>
          <w:rFonts w:cs="Arial"/>
          <w:lang w:val="en-ZA"/>
        </w:rPr>
        <w:t xml:space="preserve"> </w:t>
      </w:r>
      <w:r w:rsidRPr="00685753">
        <w:rPr>
          <w:rFonts w:cs="Arial"/>
          <w:lang w:val="en-ZA"/>
        </w:rPr>
        <w:t>evidenced in the improved performance.</w:t>
      </w:r>
    </w:p>
    <w:p w14:paraId="1CA5427E" w14:textId="77777777" w:rsidR="004C0C66" w:rsidRDefault="004C0C66" w:rsidP="00685753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</w:p>
    <w:p w14:paraId="3E12E622" w14:textId="77777777" w:rsidR="00A25632" w:rsidRDefault="00A25632" w:rsidP="00BF572E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  <w:lang w:val="en-ZA"/>
        </w:rPr>
      </w:pPr>
    </w:p>
    <w:p w14:paraId="51DBA5AD" w14:textId="096D383B" w:rsidR="00797F6C" w:rsidRDefault="00797F6C" w:rsidP="00BF572E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  <w:lang w:val="en-ZA"/>
        </w:rPr>
      </w:pPr>
      <w:r w:rsidRPr="00797F6C">
        <w:rPr>
          <w:rFonts w:cs="Arial"/>
          <w:i/>
          <w:iCs/>
          <w:lang w:val="en-ZA"/>
        </w:rPr>
        <w:t xml:space="preserve">Sasfin Wealth </w:t>
      </w:r>
    </w:p>
    <w:p w14:paraId="1BE47BAC" w14:textId="77777777" w:rsidR="00797F6C" w:rsidRDefault="00797F6C" w:rsidP="00BF572E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lang w:val="en-ZA"/>
        </w:rPr>
      </w:pPr>
    </w:p>
    <w:p w14:paraId="41685DCF" w14:textId="761370C1" w:rsidR="00797F6C" w:rsidRPr="00797F6C" w:rsidRDefault="00797F6C" w:rsidP="00BF572E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  <w:r w:rsidRPr="00797F6C">
        <w:rPr>
          <w:rFonts w:cs="Arial"/>
          <w:lang w:val="en-ZA"/>
        </w:rPr>
        <w:t>Sasfin Wealth's Total Income was R3</w:t>
      </w:r>
      <w:r>
        <w:rPr>
          <w:rFonts w:cs="Arial"/>
          <w:lang w:val="en-ZA"/>
        </w:rPr>
        <w:t>6</w:t>
      </w:r>
      <w:r w:rsidRPr="00797F6C">
        <w:rPr>
          <w:rFonts w:cs="Arial"/>
          <w:lang w:val="en-ZA"/>
        </w:rPr>
        <w:t>3m (2021: R</w:t>
      </w:r>
      <w:r>
        <w:rPr>
          <w:rFonts w:cs="Arial"/>
          <w:lang w:val="en-ZA"/>
        </w:rPr>
        <w:t>345</w:t>
      </w:r>
      <w:r w:rsidRPr="00797F6C">
        <w:rPr>
          <w:rFonts w:cs="Arial"/>
          <w:lang w:val="en-ZA"/>
        </w:rPr>
        <w:t xml:space="preserve">m), with a </w:t>
      </w:r>
      <w:r>
        <w:rPr>
          <w:rFonts w:cs="Arial"/>
          <w:lang w:val="en-ZA"/>
        </w:rPr>
        <w:t xml:space="preserve">profit of </w:t>
      </w:r>
      <w:r w:rsidRPr="00797F6C">
        <w:rPr>
          <w:rFonts w:cs="Arial"/>
          <w:lang w:val="en-ZA"/>
        </w:rPr>
        <w:t xml:space="preserve"> R</w:t>
      </w:r>
      <w:r>
        <w:rPr>
          <w:rFonts w:cs="Arial"/>
          <w:lang w:val="en-ZA"/>
        </w:rPr>
        <w:t>58</w:t>
      </w:r>
      <w:r w:rsidRPr="00797F6C">
        <w:rPr>
          <w:rFonts w:cs="Arial"/>
          <w:lang w:val="en-ZA"/>
        </w:rPr>
        <w:t>m (2021:</w:t>
      </w:r>
      <w:r>
        <w:rPr>
          <w:rFonts w:cs="Arial"/>
          <w:lang w:val="en-ZA"/>
        </w:rPr>
        <w:t xml:space="preserve"> </w:t>
      </w:r>
      <w:r w:rsidRPr="00797F6C">
        <w:rPr>
          <w:rFonts w:cs="Arial"/>
          <w:lang w:val="en-ZA"/>
        </w:rPr>
        <w:t>R</w:t>
      </w:r>
      <w:r>
        <w:rPr>
          <w:rFonts w:cs="Arial"/>
          <w:lang w:val="en-ZA"/>
        </w:rPr>
        <w:t>77</w:t>
      </w:r>
      <w:r w:rsidRPr="00797F6C">
        <w:rPr>
          <w:rFonts w:cs="Arial"/>
          <w:lang w:val="en-ZA"/>
        </w:rPr>
        <w:t>m) for the financial year ended 30 June 2022.</w:t>
      </w:r>
    </w:p>
    <w:p w14:paraId="35176D6B" w14:textId="77777777" w:rsidR="00797F6C" w:rsidRDefault="00797F6C" w:rsidP="00797F6C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</w:p>
    <w:p w14:paraId="7BE985B7" w14:textId="0F97F099" w:rsidR="00797F6C" w:rsidRPr="00797F6C" w:rsidRDefault="00797F6C" w:rsidP="00797F6C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  <w:r w:rsidRPr="00797F6C">
        <w:rPr>
          <w:rFonts w:cs="Arial"/>
          <w:lang w:val="en-ZA"/>
        </w:rPr>
        <w:t xml:space="preserve">Sasfin Wealth's underlying performance was good, with total income growing </w:t>
      </w:r>
      <w:r w:rsidR="00A25632">
        <w:rPr>
          <w:rFonts w:cs="Arial"/>
          <w:lang w:val="en-ZA"/>
        </w:rPr>
        <w:t>5</w:t>
      </w:r>
      <w:r w:rsidRPr="00797F6C">
        <w:rPr>
          <w:rFonts w:cs="Arial"/>
          <w:lang w:val="en-ZA"/>
        </w:rPr>
        <w:t>%, driven by growth in assets under advice and management to R59.2 billion (2021:R53.9 billion). The reduction in operating profit was mainly due to a once-off operational loss of R45 million. Investment performance remained healthy</w:t>
      </w:r>
      <w:r w:rsidR="003F5884">
        <w:rPr>
          <w:rFonts w:cs="Arial"/>
          <w:lang w:val="en-ZA"/>
        </w:rPr>
        <w:t>,</w:t>
      </w:r>
      <w:r w:rsidRPr="00797F6C">
        <w:rPr>
          <w:rFonts w:cs="Arial"/>
          <w:lang w:val="en-ZA"/>
        </w:rPr>
        <w:t xml:space="preserve"> and Sasfin Wealth continues to</w:t>
      </w:r>
      <w:r w:rsidR="00FC157D">
        <w:rPr>
          <w:rFonts w:cs="Arial"/>
          <w:lang w:val="en-ZA"/>
        </w:rPr>
        <w:t xml:space="preserve"> </w:t>
      </w:r>
      <w:r w:rsidRPr="00797F6C">
        <w:rPr>
          <w:rFonts w:cs="Arial"/>
          <w:lang w:val="en-ZA"/>
        </w:rPr>
        <w:t>receive recognition and industry accolades.</w:t>
      </w:r>
    </w:p>
    <w:p w14:paraId="33F2F408" w14:textId="3E687914" w:rsidR="00797F6C" w:rsidRDefault="00797F6C" w:rsidP="00797F6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lang w:val="en-ZA"/>
        </w:rPr>
      </w:pPr>
    </w:p>
    <w:p w14:paraId="48F9D2E6" w14:textId="2C89C14B" w:rsidR="001C6E1B" w:rsidRDefault="008C1084" w:rsidP="00797F6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lang w:val="en-ZA"/>
        </w:rPr>
      </w:pPr>
      <w:r>
        <w:rPr>
          <w:rFonts w:cs="Arial"/>
          <w:b/>
          <w:bCs/>
          <w:lang w:val="en-ZA"/>
        </w:rPr>
        <w:t>Strategic focus</w:t>
      </w:r>
    </w:p>
    <w:p w14:paraId="47CB1A14" w14:textId="23747732" w:rsidR="001C6E1B" w:rsidRDefault="001C6E1B" w:rsidP="00797F6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lang w:val="en-ZA"/>
        </w:rPr>
      </w:pPr>
    </w:p>
    <w:p w14:paraId="7BDAACC5" w14:textId="39235CCC" w:rsidR="001C6E1B" w:rsidRPr="001C6E1B" w:rsidRDefault="001C6E1B" w:rsidP="001C6E1B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  <w:lang w:val="en-ZA"/>
        </w:rPr>
      </w:pPr>
      <w:r w:rsidRPr="001C6E1B">
        <w:rPr>
          <w:rFonts w:cs="Arial"/>
          <w:i/>
          <w:iCs/>
          <w:lang w:val="en-ZA"/>
        </w:rPr>
        <w:t>Pillar focus</w:t>
      </w:r>
      <w:r>
        <w:rPr>
          <w:rFonts w:cs="Arial"/>
          <w:i/>
          <w:iCs/>
          <w:lang w:val="en-ZA"/>
        </w:rPr>
        <w:t xml:space="preserve"> and platforms for growth </w:t>
      </w:r>
    </w:p>
    <w:p w14:paraId="7A8861FB" w14:textId="77777777" w:rsidR="000D6D06" w:rsidRDefault="000D6D06" w:rsidP="001C6E1B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</w:p>
    <w:p w14:paraId="66C83B21" w14:textId="497A7932" w:rsidR="001C6E1B" w:rsidRPr="001C6E1B" w:rsidRDefault="001C6E1B" w:rsidP="001C6E1B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  <w:r w:rsidRPr="001C6E1B">
        <w:rPr>
          <w:rFonts w:cs="Arial"/>
          <w:lang w:val="en-ZA"/>
        </w:rPr>
        <w:t>In BCB, we are taking increased</w:t>
      </w:r>
      <w:r>
        <w:rPr>
          <w:rFonts w:cs="Arial"/>
          <w:lang w:val="en-ZA"/>
        </w:rPr>
        <w:t xml:space="preserve"> </w:t>
      </w:r>
      <w:r w:rsidRPr="001C6E1B">
        <w:rPr>
          <w:rFonts w:cs="Arial"/>
          <w:lang w:val="en-ZA"/>
        </w:rPr>
        <w:t>steps to become our clients’</w:t>
      </w:r>
      <w:r>
        <w:rPr>
          <w:rFonts w:cs="Arial"/>
          <w:lang w:val="en-ZA"/>
        </w:rPr>
        <w:t xml:space="preserve"> </w:t>
      </w:r>
      <w:r w:rsidRPr="001C6E1B">
        <w:rPr>
          <w:rFonts w:cs="Arial"/>
          <w:lang w:val="en-ZA"/>
        </w:rPr>
        <w:t>primary bank, thereby increasing</w:t>
      </w:r>
    </w:p>
    <w:p w14:paraId="15B9642F" w14:textId="360378B7" w:rsidR="001C6E1B" w:rsidRPr="001C6E1B" w:rsidRDefault="001C6E1B" w:rsidP="001C6E1B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  <w:r w:rsidRPr="001C6E1B">
        <w:rPr>
          <w:rFonts w:cs="Arial"/>
          <w:lang w:val="en-ZA"/>
        </w:rPr>
        <w:t>deposits and non-interest revenue.</w:t>
      </w:r>
      <w:r>
        <w:rPr>
          <w:rFonts w:cs="Arial"/>
          <w:lang w:val="en-ZA"/>
        </w:rPr>
        <w:t xml:space="preserve"> </w:t>
      </w:r>
      <w:r w:rsidRPr="001C6E1B">
        <w:rPr>
          <w:rFonts w:cs="Arial"/>
          <w:lang w:val="en-ZA"/>
        </w:rPr>
        <w:t>In Asset Finance, we continue</w:t>
      </w:r>
      <w:r>
        <w:rPr>
          <w:rFonts w:cs="Arial"/>
          <w:lang w:val="en-ZA"/>
        </w:rPr>
        <w:t xml:space="preserve"> </w:t>
      </w:r>
      <w:r w:rsidRPr="001C6E1B">
        <w:rPr>
          <w:rFonts w:cs="Arial"/>
          <w:lang w:val="en-ZA"/>
        </w:rPr>
        <w:t xml:space="preserve">to diversify our </w:t>
      </w:r>
      <w:r w:rsidR="003F5884">
        <w:rPr>
          <w:rFonts w:cs="Arial"/>
          <w:lang w:val="en-ZA"/>
        </w:rPr>
        <w:t>pool of assets financed</w:t>
      </w:r>
      <w:r w:rsidRPr="001C6E1B">
        <w:rPr>
          <w:rFonts w:cs="Arial"/>
          <w:lang w:val="en-ZA"/>
        </w:rPr>
        <w:t>.</w:t>
      </w:r>
    </w:p>
    <w:p w14:paraId="2CBE74CE" w14:textId="77777777" w:rsidR="001C6E1B" w:rsidRDefault="001C6E1B" w:rsidP="001C6E1B">
      <w:pPr>
        <w:autoSpaceDE w:val="0"/>
        <w:autoSpaceDN w:val="0"/>
        <w:adjustRightInd w:val="0"/>
        <w:spacing w:after="0"/>
        <w:jc w:val="both"/>
      </w:pPr>
      <w:r w:rsidRPr="001C6E1B">
        <w:rPr>
          <w:rFonts w:cs="Arial"/>
          <w:lang w:val="en-ZA"/>
        </w:rPr>
        <w:t>In Wealth, we are committed</w:t>
      </w:r>
      <w:r>
        <w:rPr>
          <w:rFonts w:cs="Arial"/>
          <w:lang w:val="en-ZA"/>
        </w:rPr>
        <w:t xml:space="preserve"> </w:t>
      </w:r>
      <w:r w:rsidRPr="001C6E1B">
        <w:rPr>
          <w:rFonts w:cs="Arial"/>
          <w:lang w:val="en-ZA"/>
        </w:rPr>
        <w:t>to building a world-class asset</w:t>
      </w:r>
      <w:r>
        <w:rPr>
          <w:rFonts w:cs="Arial"/>
          <w:lang w:val="en-ZA"/>
        </w:rPr>
        <w:t xml:space="preserve"> </w:t>
      </w:r>
      <w:r w:rsidRPr="001C6E1B">
        <w:rPr>
          <w:rFonts w:cs="Arial"/>
          <w:lang w:val="en-ZA"/>
        </w:rPr>
        <w:t>management business</w:t>
      </w:r>
      <w:r>
        <w:rPr>
          <w:rFonts w:cs="Arial"/>
          <w:lang w:val="en-ZA"/>
        </w:rPr>
        <w:t>.</w:t>
      </w:r>
      <w:r w:rsidRPr="001C6E1B">
        <w:t xml:space="preserve"> </w:t>
      </w:r>
    </w:p>
    <w:p w14:paraId="460D782E" w14:textId="73EE3BC5" w:rsidR="001C6E1B" w:rsidRDefault="001C6E1B" w:rsidP="001C6E1B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  <w:r>
        <w:t xml:space="preserve">We </w:t>
      </w:r>
      <w:r w:rsidR="0042347C">
        <w:t>c</w:t>
      </w:r>
      <w:r w:rsidR="00A25632" w:rsidRPr="00A25632">
        <w:t>ontinue to strengthen our human capital, operational capabilities and technology</w:t>
      </w:r>
      <w:r w:rsidR="0042347C">
        <w:t xml:space="preserve"> in each</w:t>
      </w:r>
      <w:r w:rsidR="00A25632" w:rsidRPr="00A25632">
        <w:t xml:space="preserve"> Pillar</w:t>
      </w:r>
      <w:r w:rsidRPr="001C6E1B">
        <w:rPr>
          <w:rFonts w:cs="Arial"/>
          <w:lang w:val="en-ZA"/>
        </w:rPr>
        <w:t>.</w:t>
      </w:r>
    </w:p>
    <w:p w14:paraId="10736739" w14:textId="77777777" w:rsidR="001C6E1B" w:rsidRDefault="001C6E1B" w:rsidP="001C6E1B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</w:p>
    <w:p w14:paraId="268AC919" w14:textId="47E7534C" w:rsidR="001C6E1B" w:rsidRPr="001C6E1B" w:rsidRDefault="001C6E1B" w:rsidP="001C6E1B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  <w:lang w:val="en-ZA"/>
        </w:rPr>
      </w:pPr>
      <w:r w:rsidRPr="001C6E1B">
        <w:rPr>
          <w:rFonts w:cs="Arial"/>
          <w:i/>
          <w:iCs/>
          <w:lang w:val="en-ZA"/>
        </w:rPr>
        <w:t>People and culture</w:t>
      </w:r>
    </w:p>
    <w:p w14:paraId="44B0A644" w14:textId="77777777" w:rsidR="001C6E1B" w:rsidRPr="001C6E1B" w:rsidRDefault="001C6E1B" w:rsidP="001C6E1B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</w:p>
    <w:p w14:paraId="2F8573E4" w14:textId="5D1D8CB8" w:rsidR="001C6E1B" w:rsidRDefault="00A25632" w:rsidP="001C6E1B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  <w:r>
        <w:rPr>
          <w:rFonts w:cs="Arial"/>
          <w:lang w:val="en-ZA"/>
        </w:rPr>
        <w:t>Our</w:t>
      </w:r>
      <w:r w:rsidR="001C6E1B" w:rsidRPr="001C6E1B">
        <w:rPr>
          <w:rFonts w:cs="Arial"/>
          <w:lang w:val="en-ZA"/>
        </w:rPr>
        <w:t xml:space="preserve"> hybrid working model</w:t>
      </w:r>
      <w:r w:rsidR="001C6E1B">
        <w:rPr>
          <w:rFonts w:cs="Arial"/>
          <w:lang w:val="en-ZA"/>
        </w:rPr>
        <w:t xml:space="preserve"> </w:t>
      </w:r>
      <w:r w:rsidR="001C6E1B" w:rsidRPr="001C6E1B">
        <w:rPr>
          <w:rFonts w:cs="Arial"/>
          <w:lang w:val="en-ZA"/>
        </w:rPr>
        <w:t>and new office space in</w:t>
      </w:r>
      <w:r w:rsidR="001C6E1B">
        <w:rPr>
          <w:rFonts w:cs="Arial"/>
          <w:lang w:val="en-ZA"/>
        </w:rPr>
        <w:t xml:space="preserve"> </w:t>
      </w:r>
      <w:r w:rsidR="001C6E1B" w:rsidRPr="001C6E1B">
        <w:rPr>
          <w:rFonts w:cs="Arial"/>
          <w:lang w:val="en-ZA"/>
        </w:rPr>
        <w:t>Sandton ensures that we</w:t>
      </w:r>
      <w:r w:rsidR="001C6E1B">
        <w:rPr>
          <w:rFonts w:cs="Arial"/>
          <w:lang w:val="en-ZA"/>
        </w:rPr>
        <w:t xml:space="preserve"> </w:t>
      </w:r>
      <w:r w:rsidR="001C6E1B" w:rsidRPr="001C6E1B">
        <w:rPr>
          <w:rFonts w:cs="Arial"/>
          <w:lang w:val="en-ZA"/>
        </w:rPr>
        <w:t>deliver a compelling value</w:t>
      </w:r>
      <w:r w:rsidR="001C6E1B">
        <w:rPr>
          <w:rFonts w:cs="Arial"/>
          <w:lang w:val="en-ZA"/>
        </w:rPr>
        <w:t xml:space="preserve"> </w:t>
      </w:r>
      <w:r w:rsidR="001C6E1B" w:rsidRPr="001C6E1B">
        <w:rPr>
          <w:rFonts w:cs="Arial"/>
          <w:lang w:val="en-ZA"/>
        </w:rPr>
        <w:t>proposition to our</w:t>
      </w:r>
      <w:r w:rsidR="001C6E1B">
        <w:rPr>
          <w:rFonts w:cs="Arial"/>
          <w:lang w:val="en-ZA"/>
        </w:rPr>
        <w:t xml:space="preserve"> </w:t>
      </w:r>
      <w:r w:rsidR="001C6E1B" w:rsidRPr="001C6E1B">
        <w:rPr>
          <w:rFonts w:cs="Arial"/>
          <w:lang w:val="en-ZA"/>
        </w:rPr>
        <w:t>employees.</w:t>
      </w:r>
    </w:p>
    <w:p w14:paraId="16AF85BF" w14:textId="4672692B" w:rsidR="001C6E1B" w:rsidRDefault="001C6E1B" w:rsidP="001C6E1B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</w:p>
    <w:p w14:paraId="5B2C3754" w14:textId="47A022C1" w:rsidR="000D6D06" w:rsidRPr="000D6D06" w:rsidRDefault="000D6D06" w:rsidP="000D6D06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  <w:lang w:val="en-ZA"/>
        </w:rPr>
      </w:pPr>
      <w:r w:rsidRPr="000D6D06">
        <w:rPr>
          <w:rFonts w:cs="Arial"/>
          <w:i/>
          <w:iCs/>
          <w:lang w:val="en-ZA"/>
        </w:rPr>
        <w:t>Distribution</w:t>
      </w:r>
      <w:r>
        <w:rPr>
          <w:rFonts w:cs="Arial"/>
          <w:i/>
          <w:iCs/>
          <w:lang w:val="en-ZA"/>
        </w:rPr>
        <w:t xml:space="preserve"> </w:t>
      </w:r>
      <w:r w:rsidRPr="000D6D06">
        <w:rPr>
          <w:rFonts w:cs="Arial"/>
          <w:i/>
          <w:iCs/>
          <w:lang w:val="en-ZA"/>
        </w:rPr>
        <w:t>drive</w:t>
      </w:r>
    </w:p>
    <w:p w14:paraId="317080DD" w14:textId="508F2A95" w:rsidR="001C6E1B" w:rsidRDefault="000D6D06" w:rsidP="000D6D06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  <w:r>
        <w:rPr>
          <w:rFonts w:cs="Arial"/>
          <w:lang w:val="en-ZA"/>
        </w:rPr>
        <w:t>As part of our strategy</w:t>
      </w:r>
      <w:r w:rsidR="00B66098">
        <w:rPr>
          <w:rFonts w:cs="Arial"/>
          <w:lang w:val="en-ZA"/>
        </w:rPr>
        <w:t xml:space="preserve">, we </w:t>
      </w:r>
      <w:r>
        <w:rPr>
          <w:rFonts w:cs="Arial"/>
          <w:lang w:val="en-ZA"/>
        </w:rPr>
        <w:t>will drive h</w:t>
      </w:r>
      <w:r w:rsidRPr="000D6D06">
        <w:rPr>
          <w:rFonts w:cs="Arial"/>
          <w:lang w:val="en-ZA"/>
        </w:rPr>
        <w:t>ealthy growth in loans,</w:t>
      </w:r>
      <w:r>
        <w:rPr>
          <w:rFonts w:cs="Arial"/>
          <w:lang w:val="en-ZA"/>
        </w:rPr>
        <w:t xml:space="preserve"> </w:t>
      </w:r>
      <w:r w:rsidRPr="000D6D06">
        <w:rPr>
          <w:rFonts w:cs="Arial"/>
          <w:lang w:val="en-ZA"/>
        </w:rPr>
        <w:t>deposits and assets under</w:t>
      </w:r>
      <w:r>
        <w:rPr>
          <w:rFonts w:cs="Arial"/>
          <w:lang w:val="en-ZA"/>
        </w:rPr>
        <w:t xml:space="preserve"> </w:t>
      </w:r>
      <w:r w:rsidRPr="000D6D06">
        <w:rPr>
          <w:rFonts w:cs="Arial"/>
          <w:lang w:val="en-ZA"/>
        </w:rPr>
        <w:t>management</w:t>
      </w:r>
      <w:r>
        <w:rPr>
          <w:rFonts w:cs="Arial"/>
          <w:lang w:val="en-ZA"/>
        </w:rPr>
        <w:t>.</w:t>
      </w:r>
    </w:p>
    <w:p w14:paraId="0221F0C6" w14:textId="77777777" w:rsidR="000D6D06" w:rsidRDefault="000D6D06" w:rsidP="000D6D06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</w:p>
    <w:p w14:paraId="1838836A" w14:textId="6B1E9566" w:rsidR="000D6D06" w:rsidRPr="000D6D06" w:rsidRDefault="000D6D06" w:rsidP="000D6D06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  <w:lang w:val="en-ZA"/>
        </w:rPr>
      </w:pPr>
      <w:r w:rsidRPr="000D6D06">
        <w:rPr>
          <w:rFonts w:cs="Arial"/>
          <w:i/>
          <w:iCs/>
          <w:lang w:val="en-ZA"/>
        </w:rPr>
        <w:t>Transform our society</w:t>
      </w:r>
    </w:p>
    <w:p w14:paraId="0F56501D" w14:textId="77777777" w:rsidR="000D6D06" w:rsidRPr="000D6D06" w:rsidRDefault="000D6D06" w:rsidP="000D6D06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</w:p>
    <w:p w14:paraId="38F947CD" w14:textId="726C7F53" w:rsidR="000D6D06" w:rsidRPr="000D6D06" w:rsidRDefault="000D6D06" w:rsidP="000D6D06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  <w:r w:rsidRPr="000D6D06">
        <w:rPr>
          <w:rFonts w:cs="Arial"/>
          <w:lang w:val="en-ZA"/>
        </w:rPr>
        <w:t>We deliver value to small</w:t>
      </w:r>
      <w:r>
        <w:rPr>
          <w:rFonts w:cs="Arial"/>
          <w:lang w:val="en-ZA"/>
        </w:rPr>
        <w:t xml:space="preserve"> </w:t>
      </w:r>
      <w:r w:rsidRPr="000D6D06">
        <w:rPr>
          <w:rFonts w:cs="Arial"/>
          <w:lang w:val="en-ZA"/>
        </w:rPr>
        <w:t>businesses through our B\\YOND</w:t>
      </w:r>
      <w:r>
        <w:rPr>
          <w:rFonts w:cs="Arial"/>
          <w:lang w:val="en-ZA"/>
        </w:rPr>
        <w:t xml:space="preserve"> </w:t>
      </w:r>
      <w:r w:rsidRPr="000D6D06">
        <w:rPr>
          <w:rFonts w:cs="Arial"/>
          <w:lang w:val="en-ZA"/>
        </w:rPr>
        <w:t>platform, as well as NASIRA-backed</w:t>
      </w:r>
    </w:p>
    <w:p w14:paraId="05D0A317" w14:textId="31B76C33" w:rsidR="000D6D06" w:rsidRDefault="000D6D06" w:rsidP="000D6D06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  <w:r w:rsidRPr="000D6D06">
        <w:rPr>
          <w:rFonts w:cs="Arial"/>
          <w:lang w:val="en-ZA"/>
        </w:rPr>
        <w:t>loans offered to women,</w:t>
      </w:r>
      <w:r>
        <w:rPr>
          <w:rFonts w:cs="Arial"/>
          <w:lang w:val="en-ZA"/>
        </w:rPr>
        <w:t xml:space="preserve"> </w:t>
      </w:r>
      <w:r w:rsidRPr="000D6D06">
        <w:rPr>
          <w:rFonts w:cs="Arial"/>
          <w:lang w:val="en-ZA"/>
        </w:rPr>
        <w:t>youth and COVID-19-impacted</w:t>
      </w:r>
      <w:r>
        <w:rPr>
          <w:rFonts w:cs="Arial"/>
          <w:lang w:val="en-ZA"/>
        </w:rPr>
        <w:t xml:space="preserve"> </w:t>
      </w:r>
      <w:r w:rsidRPr="000D6D06">
        <w:rPr>
          <w:rFonts w:cs="Arial"/>
          <w:lang w:val="en-ZA"/>
        </w:rPr>
        <w:t>businesses.</w:t>
      </w:r>
    </w:p>
    <w:p w14:paraId="5A688590" w14:textId="77777777" w:rsidR="000D6D06" w:rsidRPr="001C6E1B" w:rsidRDefault="000D6D06" w:rsidP="000D6D06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</w:p>
    <w:p w14:paraId="3A3AB864" w14:textId="64BEB1BF" w:rsidR="00623261" w:rsidRPr="00DE390A" w:rsidRDefault="005444CF" w:rsidP="00BF572E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lang w:val="en-ZA"/>
        </w:rPr>
      </w:pPr>
      <w:r w:rsidRPr="00DE390A">
        <w:rPr>
          <w:rFonts w:cs="Arial"/>
          <w:b/>
          <w:bCs/>
          <w:lang w:val="en-ZA"/>
        </w:rPr>
        <w:t xml:space="preserve">Cash </w:t>
      </w:r>
      <w:r w:rsidR="00BC7199" w:rsidRPr="00DE390A">
        <w:rPr>
          <w:rFonts w:cs="Arial"/>
          <w:b/>
          <w:bCs/>
          <w:lang w:val="en-ZA"/>
        </w:rPr>
        <w:t>d</w:t>
      </w:r>
      <w:r w:rsidR="00623261" w:rsidRPr="00DE390A">
        <w:rPr>
          <w:rFonts w:cs="Arial"/>
          <w:b/>
          <w:bCs/>
          <w:lang w:val="en-ZA"/>
        </w:rPr>
        <w:t>ividend</w:t>
      </w:r>
      <w:r w:rsidR="007F3EA8" w:rsidRPr="00DE390A">
        <w:rPr>
          <w:rFonts w:cs="Arial"/>
          <w:b/>
          <w:bCs/>
          <w:lang w:val="en-ZA"/>
        </w:rPr>
        <w:t xml:space="preserve"> declaration</w:t>
      </w:r>
    </w:p>
    <w:p w14:paraId="79C09A9C" w14:textId="77777777" w:rsidR="00623261" w:rsidRPr="002D3852" w:rsidRDefault="00623261" w:rsidP="00BF572E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</w:p>
    <w:p w14:paraId="09FE1640" w14:textId="2C4E3F4F" w:rsidR="00623261" w:rsidRPr="002D3852" w:rsidRDefault="00623261" w:rsidP="00BF572E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  <w:r w:rsidRPr="002D3852">
        <w:rPr>
          <w:rFonts w:cs="Arial"/>
          <w:lang w:val="en-ZA"/>
        </w:rPr>
        <w:t xml:space="preserve">The </w:t>
      </w:r>
      <w:r w:rsidR="00A72B1E" w:rsidRPr="002D3852">
        <w:rPr>
          <w:rFonts w:cs="Arial"/>
          <w:lang w:val="en-ZA"/>
        </w:rPr>
        <w:t xml:space="preserve">Board of </w:t>
      </w:r>
      <w:r w:rsidRPr="002D3852">
        <w:rPr>
          <w:rFonts w:cs="Arial"/>
          <w:lang w:val="en-ZA"/>
        </w:rPr>
        <w:t xml:space="preserve">Directors declared a final </w:t>
      </w:r>
      <w:r w:rsidR="007F3EA8" w:rsidRPr="002D3852">
        <w:rPr>
          <w:rFonts w:cs="Arial"/>
          <w:lang w:val="en-ZA"/>
        </w:rPr>
        <w:t>gross</w:t>
      </w:r>
      <w:r w:rsidRPr="002D3852">
        <w:rPr>
          <w:rFonts w:cs="Arial"/>
          <w:lang w:val="en-ZA"/>
        </w:rPr>
        <w:t xml:space="preserve"> cash dividend for the year ended 30 June 20</w:t>
      </w:r>
      <w:r w:rsidR="00BC7199" w:rsidRPr="002D3852">
        <w:rPr>
          <w:rFonts w:cs="Arial"/>
          <w:lang w:val="en-ZA"/>
        </w:rPr>
        <w:t>2</w:t>
      </w:r>
      <w:r w:rsidR="00B5792A" w:rsidRPr="002D3852">
        <w:rPr>
          <w:rFonts w:cs="Arial"/>
          <w:lang w:val="en-ZA"/>
        </w:rPr>
        <w:t>2</w:t>
      </w:r>
      <w:r w:rsidRPr="002D3852">
        <w:rPr>
          <w:rFonts w:cs="Arial"/>
          <w:lang w:val="en-ZA"/>
        </w:rPr>
        <w:t xml:space="preserve"> </w:t>
      </w:r>
      <w:r w:rsidR="00E76B2E" w:rsidRPr="002D3852">
        <w:rPr>
          <w:rFonts w:cs="Arial"/>
          <w:lang w:val="en-ZA"/>
        </w:rPr>
        <w:t>(“</w:t>
      </w:r>
      <w:r w:rsidR="00E46F54">
        <w:rPr>
          <w:rFonts w:cs="Arial"/>
          <w:lang w:val="en-ZA"/>
        </w:rPr>
        <w:t>d</w:t>
      </w:r>
      <w:r w:rsidR="00E76B2E" w:rsidRPr="002D3852">
        <w:rPr>
          <w:rFonts w:cs="Arial"/>
          <w:lang w:val="en-ZA"/>
        </w:rPr>
        <w:t xml:space="preserve">ividend”) </w:t>
      </w:r>
      <w:r w:rsidRPr="002D3852">
        <w:rPr>
          <w:rFonts w:cs="Arial"/>
          <w:lang w:val="en-ZA"/>
        </w:rPr>
        <w:t>of</w:t>
      </w:r>
      <w:r w:rsidR="00BC7199" w:rsidRPr="002D3852">
        <w:rPr>
          <w:rFonts w:cs="Arial"/>
          <w:lang w:val="en-ZA"/>
        </w:rPr>
        <w:t xml:space="preserve"> </w:t>
      </w:r>
      <w:r w:rsidR="00D739FB" w:rsidRPr="00D739FB">
        <w:rPr>
          <w:rFonts w:cs="Arial"/>
          <w:lang w:val="en-ZA"/>
        </w:rPr>
        <w:t xml:space="preserve">120.89814 </w:t>
      </w:r>
      <w:r w:rsidRPr="002D3852">
        <w:rPr>
          <w:rFonts w:cs="Arial"/>
          <w:lang w:val="en-ZA"/>
        </w:rPr>
        <w:t>cents (20</w:t>
      </w:r>
      <w:r w:rsidR="00BC7199" w:rsidRPr="002D3852">
        <w:rPr>
          <w:rFonts w:cs="Arial"/>
          <w:lang w:val="en-ZA"/>
        </w:rPr>
        <w:t>2</w:t>
      </w:r>
      <w:r w:rsidR="00B5792A" w:rsidRPr="002D3852">
        <w:rPr>
          <w:rFonts w:cs="Arial"/>
          <w:lang w:val="en-ZA"/>
        </w:rPr>
        <w:t>1</w:t>
      </w:r>
      <w:r w:rsidRPr="002D3852">
        <w:rPr>
          <w:rFonts w:cs="Arial"/>
          <w:lang w:val="en-ZA"/>
        </w:rPr>
        <w:t xml:space="preserve">: </w:t>
      </w:r>
      <w:r w:rsidR="00B5792A" w:rsidRPr="002D3852">
        <w:rPr>
          <w:rFonts w:cs="Arial"/>
          <w:lang w:val="en-ZA"/>
        </w:rPr>
        <w:t>131.02000</w:t>
      </w:r>
      <w:r w:rsidR="009C30E7">
        <w:rPr>
          <w:rFonts w:cs="Arial"/>
          <w:lang w:val="en-ZA"/>
        </w:rPr>
        <w:t xml:space="preserve"> cents</w:t>
      </w:r>
      <w:r w:rsidRPr="002D3852">
        <w:rPr>
          <w:rFonts w:cs="Arial"/>
          <w:lang w:val="en-ZA"/>
        </w:rPr>
        <w:t>) per share.</w:t>
      </w:r>
    </w:p>
    <w:p w14:paraId="70105A1B" w14:textId="77777777" w:rsidR="006927D5" w:rsidRPr="002D3852" w:rsidRDefault="006927D5" w:rsidP="006927D5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</w:p>
    <w:p w14:paraId="47AB5D3F" w14:textId="142FB1A8" w:rsidR="006927D5" w:rsidRPr="002D3852" w:rsidRDefault="006927D5" w:rsidP="006927D5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  <w:r w:rsidRPr="002D3852">
        <w:rPr>
          <w:rFonts w:cs="Arial"/>
          <w:lang w:val="en-ZA"/>
        </w:rPr>
        <w:t xml:space="preserve">The Board of Directors declared an interim </w:t>
      </w:r>
      <w:r w:rsidR="00504520" w:rsidRPr="002D3852">
        <w:rPr>
          <w:rFonts w:cs="Arial"/>
          <w:lang w:val="en-ZA"/>
        </w:rPr>
        <w:t xml:space="preserve">gross </w:t>
      </w:r>
      <w:r w:rsidRPr="002D3852">
        <w:rPr>
          <w:rFonts w:cs="Arial"/>
          <w:lang w:val="en-ZA"/>
        </w:rPr>
        <w:t>cash dividend for the period ended 31 December 2021 of 33.95026 cents (202</w:t>
      </w:r>
      <w:r w:rsidR="008514B8" w:rsidRPr="002D3852">
        <w:rPr>
          <w:rFonts w:cs="Arial"/>
          <w:lang w:val="en-ZA"/>
        </w:rPr>
        <w:t>0</w:t>
      </w:r>
      <w:r w:rsidRPr="002D3852">
        <w:rPr>
          <w:rFonts w:cs="Arial"/>
          <w:lang w:val="en-ZA"/>
        </w:rPr>
        <w:t>:</w:t>
      </w:r>
      <w:r w:rsidR="008514B8" w:rsidRPr="002D3852">
        <w:rPr>
          <w:rFonts w:cs="Arial"/>
          <w:lang w:val="en-ZA"/>
        </w:rPr>
        <w:t xml:space="preserve"> nil </w:t>
      </w:r>
      <w:r w:rsidR="0036759D" w:rsidRPr="002D3852">
        <w:rPr>
          <w:rFonts w:cs="Arial"/>
          <w:lang w:val="en-ZA"/>
        </w:rPr>
        <w:t>cents)</w:t>
      </w:r>
      <w:r w:rsidRPr="002D3852">
        <w:rPr>
          <w:rFonts w:cs="Arial"/>
          <w:lang w:val="en-ZA"/>
        </w:rPr>
        <w:t xml:space="preserve"> per share.</w:t>
      </w:r>
    </w:p>
    <w:p w14:paraId="2D12EDA1" w14:textId="77777777" w:rsidR="006927D5" w:rsidRPr="002D3852" w:rsidRDefault="006927D5" w:rsidP="00BF572E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</w:p>
    <w:p w14:paraId="6B4339B3" w14:textId="481B59C7" w:rsidR="00623261" w:rsidRPr="002D3852" w:rsidRDefault="00D857A3" w:rsidP="00BF572E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  <w:r w:rsidRPr="002D3852">
        <w:rPr>
          <w:rFonts w:cs="Arial"/>
          <w:lang w:val="en-ZA"/>
        </w:rPr>
        <w:t>T</w:t>
      </w:r>
      <w:r w:rsidR="00623261" w:rsidRPr="002D3852">
        <w:rPr>
          <w:rFonts w:cs="Arial"/>
          <w:lang w:val="en-ZA"/>
        </w:rPr>
        <w:t xml:space="preserve">he total </w:t>
      </w:r>
      <w:r w:rsidR="00504520" w:rsidRPr="002D3852">
        <w:rPr>
          <w:rFonts w:cs="Arial"/>
          <w:lang w:val="en-ZA"/>
        </w:rPr>
        <w:t xml:space="preserve">cash </w:t>
      </w:r>
      <w:r w:rsidR="00E46F54">
        <w:rPr>
          <w:rFonts w:cs="Arial"/>
          <w:lang w:val="en-ZA"/>
        </w:rPr>
        <w:t>d</w:t>
      </w:r>
      <w:r w:rsidR="00623261" w:rsidRPr="002D3852">
        <w:rPr>
          <w:rFonts w:cs="Arial"/>
          <w:lang w:val="en-ZA"/>
        </w:rPr>
        <w:t>ividend for the financial year ended 30 June 20</w:t>
      </w:r>
      <w:r w:rsidR="00E85AC3" w:rsidRPr="002D3852">
        <w:rPr>
          <w:rFonts w:cs="Arial"/>
          <w:lang w:val="en-ZA"/>
        </w:rPr>
        <w:t>2</w:t>
      </w:r>
      <w:r w:rsidR="006927D5" w:rsidRPr="002D3852">
        <w:rPr>
          <w:rFonts w:cs="Arial"/>
          <w:lang w:val="en-ZA"/>
        </w:rPr>
        <w:t>2</w:t>
      </w:r>
      <w:r w:rsidR="00623261" w:rsidRPr="002D3852">
        <w:rPr>
          <w:rFonts w:cs="Arial"/>
          <w:lang w:val="en-ZA"/>
        </w:rPr>
        <w:t xml:space="preserve"> amount</w:t>
      </w:r>
      <w:r w:rsidR="00E85AC3" w:rsidRPr="002D3852">
        <w:rPr>
          <w:rFonts w:cs="Arial"/>
          <w:lang w:val="en-ZA"/>
        </w:rPr>
        <w:t>s</w:t>
      </w:r>
      <w:r w:rsidR="00623261" w:rsidRPr="002D3852">
        <w:rPr>
          <w:rFonts w:cs="Arial"/>
          <w:lang w:val="en-ZA"/>
        </w:rPr>
        <w:t xml:space="preserve"> to </w:t>
      </w:r>
      <w:r w:rsidR="00D739FB" w:rsidRPr="00D739FB">
        <w:rPr>
          <w:rFonts w:cs="Arial"/>
          <w:lang w:val="en-ZA"/>
        </w:rPr>
        <w:t>154</w:t>
      </w:r>
      <w:r w:rsidR="001B636A">
        <w:rPr>
          <w:rFonts w:cs="Arial"/>
          <w:lang w:val="en-ZA"/>
        </w:rPr>
        <w:t>.</w:t>
      </w:r>
      <w:r w:rsidR="00D739FB" w:rsidRPr="00D739FB">
        <w:rPr>
          <w:rFonts w:cs="Arial"/>
          <w:lang w:val="en-ZA"/>
        </w:rPr>
        <w:t>848</w:t>
      </w:r>
      <w:r w:rsidR="0008365F">
        <w:rPr>
          <w:rFonts w:cs="Arial"/>
          <w:lang w:val="en-ZA"/>
        </w:rPr>
        <w:t>26</w:t>
      </w:r>
      <w:r w:rsidR="00D739FB">
        <w:rPr>
          <w:rFonts w:cs="Arial"/>
          <w:lang w:val="en-ZA"/>
        </w:rPr>
        <w:t xml:space="preserve"> </w:t>
      </w:r>
      <w:r w:rsidR="00623261" w:rsidRPr="002D3852">
        <w:rPr>
          <w:rFonts w:cs="Arial"/>
          <w:lang w:val="en-ZA"/>
        </w:rPr>
        <w:t>cents (20</w:t>
      </w:r>
      <w:r w:rsidR="00E85AC3" w:rsidRPr="002D3852">
        <w:rPr>
          <w:rFonts w:cs="Arial"/>
          <w:lang w:val="en-ZA"/>
        </w:rPr>
        <w:t>2</w:t>
      </w:r>
      <w:r w:rsidR="006927D5" w:rsidRPr="002D3852">
        <w:rPr>
          <w:rFonts w:cs="Arial"/>
          <w:lang w:val="en-ZA"/>
        </w:rPr>
        <w:t>1</w:t>
      </w:r>
      <w:r w:rsidR="00623261" w:rsidRPr="002D3852">
        <w:rPr>
          <w:rFonts w:cs="Arial"/>
          <w:lang w:val="en-ZA"/>
        </w:rPr>
        <w:t xml:space="preserve">: </w:t>
      </w:r>
      <w:r w:rsidR="006927D5" w:rsidRPr="002D3852">
        <w:rPr>
          <w:rFonts w:cs="Arial"/>
          <w:lang w:val="en-ZA"/>
        </w:rPr>
        <w:t>131.02000</w:t>
      </w:r>
      <w:r w:rsidR="009C30E7">
        <w:rPr>
          <w:rFonts w:cs="Arial"/>
          <w:lang w:val="en-ZA"/>
        </w:rPr>
        <w:t xml:space="preserve"> cents</w:t>
      </w:r>
      <w:r w:rsidR="00623261" w:rsidRPr="002D3852">
        <w:rPr>
          <w:rFonts w:cs="Arial"/>
          <w:lang w:val="en-ZA"/>
        </w:rPr>
        <w:t>) per share.</w:t>
      </w:r>
    </w:p>
    <w:p w14:paraId="191C395C" w14:textId="77777777" w:rsidR="00623261" w:rsidRPr="002D3852" w:rsidRDefault="00623261" w:rsidP="00BF572E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</w:p>
    <w:p w14:paraId="77238556" w14:textId="7297B8F3" w:rsidR="00623261" w:rsidRPr="002D3852" w:rsidRDefault="00623261" w:rsidP="00BF572E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  <w:r w:rsidRPr="002D3852">
        <w:rPr>
          <w:rFonts w:cs="Arial"/>
          <w:lang w:val="en-ZA"/>
        </w:rPr>
        <w:t xml:space="preserve">The following further information is provided to shareholders with regards to the </w:t>
      </w:r>
      <w:r w:rsidR="00E46F54">
        <w:rPr>
          <w:rFonts w:cs="Arial"/>
          <w:lang w:val="en-ZA"/>
        </w:rPr>
        <w:t>d</w:t>
      </w:r>
      <w:r w:rsidR="00B743CA" w:rsidRPr="002D3852">
        <w:rPr>
          <w:rFonts w:cs="Arial"/>
          <w:lang w:val="en-ZA"/>
        </w:rPr>
        <w:t>ividend</w:t>
      </w:r>
      <w:r w:rsidR="00A72B1E" w:rsidRPr="002D3852">
        <w:rPr>
          <w:rFonts w:cs="Arial"/>
          <w:lang w:val="en-ZA"/>
        </w:rPr>
        <w:t xml:space="preserve"> </w:t>
      </w:r>
      <w:r w:rsidRPr="002D3852">
        <w:rPr>
          <w:rFonts w:cs="Arial"/>
          <w:lang w:val="en-ZA"/>
        </w:rPr>
        <w:t>declaration in respect dividends tax:</w:t>
      </w:r>
    </w:p>
    <w:p w14:paraId="28BF3C3D" w14:textId="77777777" w:rsidR="00623261" w:rsidRPr="002D3852" w:rsidRDefault="00623261" w:rsidP="00BF572E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</w:p>
    <w:p w14:paraId="4B76BDB6" w14:textId="419F28DB" w:rsidR="00623261" w:rsidRPr="002D3852" w:rsidRDefault="00623261" w:rsidP="00BF572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ind w:left="0"/>
        <w:jc w:val="both"/>
        <w:rPr>
          <w:rFonts w:cs="Arial"/>
          <w:lang w:val="en-ZA"/>
        </w:rPr>
      </w:pPr>
      <w:r w:rsidRPr="002D3852">
        <w:rPr>
          <w:rFonts w:cs="Arial"/>
          <w:lang w:val="en-ZA"/>
        </w:rPr>
        <w:t xml:space="preserve">The </w:t>
      </w:r>
      <w:r w:rsidR="002D73CA">
        <w:rPr>
          <w:rFonts w:cs="Arial"/>
          <w:lang w:val="en-ZA"/>
        </w:rPr>
        <w:t>d</w:t>
      </w:r>
      <w:r w:rsidRPr="002D3852">
        <w:rPr>
          <w:rFonts w:cs="Arial"/>
          <w:lang w:val="en-ZA"/>
        </w:rPr>
        <w:t xml:space="preserve">ividend has been declared from income </w:t>
      </w:r>
      <w:r w:rsidR="0036759D" w:rsidRPr="002D3852">
        <w:rPr>
          <w:rFonts w:cs="Arial"/>
          <w:lang w:val="en-ZA"/>
        </w:rPr>
        <w:t>reserves.</w:t>
      </w:r>
    </w:p>
    <w:p w14:paraId="2558C8E2" w14:textId="60E4FEF1" w:rsidR="00623261" w:rsidRPr="002D3852" w:rsidRDefault="00623261" w:rsidP="00BF572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ind w:left="0"/>
        <w:jc w:val="both"/>
        <w:rPr>
          <w:rFonts w:cs="Arial"/>
          <w:lang w:val="en-ZA"/>
        </w:rPr>
      </w:pPr>
      <w:r w:rsidRPr="002D3852">
        <w:rPr>
          <w:rFonts w:cs="Arial"/>
          <w:lang w:val="en-ZA"/>
        </w:rPr>
        <w:t xml:space="preserve">The dividend withholding tax rate is 20%, and a net </w:t>
      </w:r>
      <w:r w:rsidR="002D73CA">
        <w:rPr>
          <w:rFonts w:cs="Arial"/>
          <w:lang w:val="en-ZA"/>
        </w:rPr>
        <w:t>d</w:t>
      </w:r>
      <w:r w:rsidRPr="002D3852">
        <w:rPr>
          <w:rFonts w:cs="Arial"/>
          <w:lang w:val="en-ZA"/>
        </w:rPr>
        <w:t xml:space="preserve">ividend </w:t>
      </w:r>
      <w:r w:rsidR="0036759D" w:rsidRPr="002D3852">
        <w:rPr>
          <w:rFonts w:cs="Arial"/>
          <w:lang w:val="en-ZA"/>
        </w:rPr>
        <w:t xml:space="preserve">of </w:t>
      </w:r>
      <w:r w:rsidR="00D31039" w:rsidRPr="002D3852">
        <w:rPr>
          <w:rFonts w:cs="Arial"/>
          <w:lang w:val="en-ZA"/>
        </w:rPr>
        <w:t>96</w:t>
      </w:r>
      <w:r w:rsidR="0077591C" w:rsidRPr="002D3852">
        <w:rPr>
          <w:rFonts w:cs="Arial"/>
          <w:lang w:val="en-ZA"/>
        </w:rPr>
        <w:t>.718</w:t>
      </w:r>
      <w:r w:rsidR="00D739FB">
        <w:rPr>
          <w:rFonts w:cs="Arial"/>
          <w:lang w:val="en-ZA"/>
        </w:rPr>
        <w:t>51</w:t>
      </w:r>
      <w:r w:rsidR="002D3852" w:rsidRPr="002D3852">
        <w:rPr>
          <w:rFonts w:cs="Arial"/>
          <w:lang w:val="en-ZA"/>
        </w:rPr>
        <w:t xml:space="preserve"> </w:t>
      </w:r>
      <w:r w:rsidRPr="002D3852">
        <w:rPr>
          <w:rFonts w:cs="Arial"/>
          <w:lang w:val="en-ZA"/>
        </w:rPr>
        <w:t>cents (20</w:t>
      </w:r>
      <w:r w:rsidR="008E637D" w:rsidRPr="002D3852">
        <w:rPr>
          <w:rFonts w:cs="Arial"/>
          <w:lang w:val="en-ZA"/>
        </w:rPr>
        <w:t>2</w:t>
      </w:r>
      <w:r w:rsidR="00793AB7" w:rsidRPr="002D3852">
        <w:rPr>
          <w:rFonts w:cs="Arial"/>
          <w:lang w:val="en-ZA"/>
        </w:rPr>
        <w:t>1</w:t>
      </w:r>
      <w:r w:rsidRPr="002D3852">
        <w:rPr>
          <w:rFonts w:cs="Arial"/>
          <w:lang w:val="en-ZA"/>
        </w:rPr>
        <w:t xml:space="preserve">: </w:t>
      </w:r>
      <w:r w:rsidR="00793AB7" w:rsidRPr="002D3852">
        <w:rPr>
          <w:rFonts w:cs="Arial"/>
          <w:lang w:val="en-ZA"/>
        </w:rPr>
        <w:t>104.81600</w:t>
      </w:r>
      <w:r w:rsidR="009C30E7">
        <w:rPr>
          <w:rFonts w:cs="Arial"/>
          <w:lang w:val="en-ZA"/>
        </w:rPr>
        <w:t xml:space="preserve"> cents</w:t>
      </w:r>
      <w:r w:rsidRPr="002D3852">
        <w:rPr>
          <w:rFonts w:cs="Arial"/>
          <w:lang w:val="en-ZA"/>
        </w:rPr>
        <w:t xml:space="preserve">) per share </w:t>
      </w:r>
      <w:r w:rsidR="00A72B1E" w:rsidRPr="002D3852">
        <w:rPr>
          <w:rFonts w:cs="Arial"/>
          <w:lang w:val="en-ZA"/>
        </w:rPr>
        <w:t xml:space="preserve">will </w:t>
      </w:r>
      <w:r w:rsidRPr="002D3852">
        <w:rPr>
          <w:rFonts w:cs="Arial"/>
          <w:lang w:val="en-ZA"/>
        </w:rPr>
        <w:t xml:space="preserve">be paid to those shareholders who are not exempt from dividend withholding </w:t>
      </w:r>
      <w:r w:rsidR="0036759D" w:rsidRPr="002D3852">
        <w:rPr>
          <w:rFonts w:cs="Arial"/>
          <w:lang w:val="en-ZA"/>
        </w:rPr>
        <w:t>tax.</w:t>
      </w:r>
    </w:p>
    <w:p w14:paraId="5A1F50CE" w14:textId="1EAAF7B7" w:rsidR="00623261" w:rsidRPr="002D3852" w:rsidRDefault="00623261" w:rsidP="00BF572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0"/>
        <w:jc w:val="both"/>
        <w:rPr>
          <w:rFonts w:cs="Arial"/>
          <w:lang w:val="en-ZA"/>
        </w:rPr>
      </w:pPr>
      <w:r w:rsidRPr="002D3852">
        <w:rPr>
          <w:rFonts w:cs="Arial"/>
          <w:lang w:val="en-ZA"/>
        </w:rPr>
        <w:t>The</w:t>
      </w:r>
      <w:r w:rsidR="006D5EC4" w:rsidRPr="002D3852">
        <w:rPr>
          <w:rFonts w:cs="Arial"/>
          <w:lang w:val="en-ZA"/>
        </w:rPr>
        <w:t xml:space="preserve"> number of</w:t>
      </w:r>
      <w:r w:rsidRPr="002D3852">
        <w:rPr>
          <w:rFonts w:cs="Arial"/>
          <w:lang w:val="en-ZA"/>
        </w:rPr>
        <w:t xml:space="preserve"> issued ordinary shares at </w:t>
      </w:r>
      <w:r w:rsidR="00A72B1E" w:rsidRPr="002D3852">
        <w:rPr>
          <w:rFonts w:cs="Arial"/>
          <w:lang w:val="en-ZA"/>
        </w:rPr>
        <w:t xml:space="preserve">the date of </w:t>
      </w:r>
      <w:r w:rsidR="00FF5F31">
        <w:rPr>
          <w:rFonts w:cs="Arial"/>
          <w:lang w:val="en-ZA"/>
        </w:rPr>
        <w:t>d</w:t>
      </w:r>
      <w:r w:rsidR="00A72B1E" w:rsidRPr="002D3852">
        <w:rPr>
          <w:rFonts w:cs="Arial"/>
          <w:lang w:val="en-ZA"/>
        </w:rPr>
        <w:t xml:space="preserve">ividend </w:t>
      </w:r>
      <w:r w:rsidRPr="002D3852">
        <w:rPr>
          <w:rFonts w:cs="Arial"/>
          <w:lang w:val="en-ZA"/>
        </w:rPr>
        <w:t>declaration is 32 301 441 (20</w:t>
      </w:r>
      <w:r w:rsidR="00350D70" w:rsidRPr="002D3852">
        <w:rPr>
          <w:rFonts w:cs="Arial"/>
          <w:lang w:val="en-ZA"/>
        </w:rPr>
        <w:t>2</w:t>
      </w:r>
      <w:r w:rsidR="000C4335" w:rsidRPr="002D3852">
        <w:rPr>
          <w:rFonts w:cs="Arial"/>
          <w:lang w:val="en-ZA"/>
        </w:rPr>
        <w:t>1</w:t>
      </w:r>
      <w:r w:rsidRPr="002D3852">
        <w:rPr>
          <w:rFonts w:cs="Arial"/>
          <w:lang w:val="en-ZA"/>
        </w:rPr>
        <w:t>: 32 301 441</w:t>
      </w:r>
      <w:r w:rsidR="0036759D" w:rsidRPr="002D3852">
        <w:rPr>
          <w:rFonts w:cs="Arial"/>
          <w:lang w:val="en-ZA"/>
        </w:rPr>
        <w:t>).</w:t>
      </w:r>
      <w:r w:rsidRPr="002D3852">
        <w:rPr>
          <w:rFonts w:cs="Arial"/>
          <w:lang w:val="en-ZA"/>
        </w:rPr>
        <w:t xml:space="preserve"> </w:t>
      </w:r>
    </w:p>
    <w:p w14:paraId="7E6BCC58" w14:textId="1FEDE48D" w:rsidR="00623261" w:rsidRPr="002D3852" w:rsidRDefault="00623261" w:rsidP="00BF572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0"/>
        <w:jc w:val="both"/>
        <w:rPr>
          <w:rFonts w:cs="Arial"/>
          <w:lang w:val="en-ZA"/>
        </w:rPr>
      </w:pPr>
      <w:r w:rsidRPr="002D3852">
        <w:rPr>
          <w:rFonts w:cs="Arial"/>
          <w:lang w:val="en-ZA"/>
        </w:rPr>
        <w:t>The</w:t>
      </w:r>
      <w:r w:rsidR="006D5EC4" w:rsidRPr="002D3852">
        <w:rPr>
          <w:rFonts w:cs="Arial"/>
          <w:lang w:val="en-ZA"/>
        </w:rPr>
        <w:t xml:space="preserve"> number of</w:t>
      </w:r>
      <w:r w:rsidRPr="002D3852">
        <w:rPr>
          <w:rFonts w:cs="Arial"/>
          <w:lang w:val="en-ZA"/>
        </w:rPr>
        <w:t xml:space="preserve"> issued ordinary shares (excluding treasury shares) at </w:t>
      </w:r>
      <w:r w:rsidR="00A72B1E" w:rsidRPr="002D3852">
        <w:rPr>
          <w:rFonts w:cs="Arial"/>
          <w:lang w:val="en-ZA"/>
        </w:rPr>
        <w:t xml:space="preserve">the date of </w:t>
      </w:r>
      <w:r w:rsidR="00FF5F31">
        <w:rPr>
          <w:rFonts w:cs="Arial"/>
          <w:lang w:val="en-ZA"/>
        </w:rPr>
        <w:t>d</w:t>
      </w:r>
      <w:r w:rsidR="00A72B1E" w:rsidRPr="002D3852">
        <w:rPr>
          <w:rFonts w:cs="Arial"/>
          <w:lang w:val="en-ZA"/>
        </w:rPr>
        <w:t xml:space="preserve">ividend </w:t>
      </w:r>
      <w:r w:rsidRPr="002D3852">
        <w:rPr>
          <w:rFonts w:cs="Arial"/>
          <w:lang w:val="en-ZA"/>
        </w:rPr>
        <w:t>declaration is 3</w:t>
      </w:r>
      <w:r w:rsidR="00350D70" w:rsidRPr="002D3852">
        <w:rPr>
          <w:rFonts w:cs="Arial"/>
          <w:lang w:val="en-ZA"/>
        </w:rPr>
        <w:t>0</w:t>
      </w:r>
      <w:r w:rsidRPr="002D3852">
        <w:rPr>
          <w:rFonts w:cs="Arial"/>
          <w:lang w:val="en-ZA"/>
        </w:rPr>
        <w:t xml:space="preserve"> </w:t>
      </w:r>
      <w:r w:rsidR="00350D70" w:rsidRPr="002D3852">
        <w:rPr>
          <w:rFonts w:cs="Arial"/>
          <w:lang w:val="en-ZA"/>
        </w:rPr>
        <w:t>772</w:t>
      </w:r>
      <w:r w:rsidRPr="002D3852">
        <w:rPr>
          <w:rFonts w:cs="Arial"/>
          <w:lang w:val="en-ZA"/>
        </w:rPr>
        <w:t> </w:t>
      </w:r>
      <w:r w:rsidR="00350D70" w:rsidRPr="002D3852">
        <w:rPr>
          <w:rFonts w:cs="Arial"/>
          <w:lang w:val="en-ZA"/>
        </w:rPr>
        <w:t>847</w:t>
      </w:r>
      <w:r w:rsidRPr="002D3852">
        <w:rPr>
          <w:rFonts w:cs="Arial"/>
          <w:lang w:val="en-ZA"/>
        </w:rPr>
        <w:t xml:space="preserve"> (20</w:t>
      </w:r>
      <w:r w:rsidR="00350D70" w:rsidRPr="002D3852">
        <w:rPr>
          <w:rFonts w:cs="Arial"/>
          <w:lang w:val="en-ZA"/>
        </w:rPr>
        <w:t>2</w:t>
      </w:r>
      <w:r w:rsidR="000C4335" w:rsidRPr="002D3852">
        <w:rPr>
          <w:rFonts w:cs="Arial"/>
          <w:lang w:val="en-ZA"/>
        </w:rPr>
        <w:t>1</w:t>
      </w:r>
      <w:r w:rsidRPr="002D3852">
        <w:rPr>
          <w:rFonts w:cs="Arial"/>
          <w:lang w:val="en-ZA"/>
        </w:rPr>
        <w:t xml:space="preserve">: </w:t>
      </w:r>
      <w:r w:rsidR="00987C32" w:rsidRPr="002D3852">
        <w:rPr>
          <w:rFonts w:cs="Arial"/>
          <w:lang w:val="en-ZA"/>
        </w:rPr>
        <w:t>30 772 847</w:t>
      </w:r>
      <w:r w:rsidRPr="002D3852">
        <w:rPr>
          <w:rFonts w:cs="Arial"/>
          <w:lang w:val="en-ZA"/>
        </w:rPr>
        <w:t>)</w:t>
      </w:r>
      <w:r w:rsidR="00084DF8" w:rsidRPr="002D3852">
        <w:rPr>
          <w:rFonts w:cs="Arial"/>
          <w:lang w:val="en-ZA"/>
        </w:rPr>
        <w:t>; and</w:t>
      </w:r>
    </w:p>
    <w:p w14:paraId="3B878219" w14:textId="7FEF7384" w:rsidR="00084DF8" w:rsidRPr="002D3852" w:rsidRDefault="00D62FDA" w:rsidP="00BF572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0"/>
        <w:jc w:val="both"/>
        <w:rPr>
          <w:rFonts w:cs="Arial"/>
          <w:lang w:val="en-ZA"/>
        </w:rPr>
      </w:pPr>
      <w:r w:rsidRPr="002D3852">
        <w:rPr>
          <w:rFonts w:cs="Arial"/>
          <w:lang w:val="en-ZA"/>
        </w:rPr>
        <w:t>The company’s t</w:t>
      </w:r>
      <w:r w:rsidR="00084DF8" w:rsidRPr="002D3852">
        <w:rPr>
          <w:rFonts w:cs="Arial"/>
          <w:lang w:val="en-ZA"/>
        </w:rPr>
        <w:t>ax reference number</w:t>
      </w:r>
      <w:r w:rsidR="009C30E7">
        <w:rPr>
          <w:rFonts w:cs="Arial"/>
          <w:lang w:val="en-ZA"/>
        </w:rPr>
        <w:t xml:space="preserve"> is</w:t>
      </w:r>
      <w:r w:rsidR="00084DF8" w:rsidRPr="002D3852">
        <w:rPr>
          <w:rFonts w:cs="Arial"/>
          <w:lang w:val="en-ZA"/>
        </w:rPr>
        <w:t xml:space="preserve"> 9300204717. </w:t>
      </w:r>
    </w:p>
    <w:p w14:paraId="088B4030" w14:textId="77777777" w:rsidR="00623261" w:rsidRPr="002D3852" w:rsidRDefault="00623261" w:rsidP="00BF572E">
      <w:pPr>
        <w:autoSpaceDE w:val="0"/>
        <w:autoSpaceDN w:val="0"/>
        <w:adjustRightInd w:val="0"/>
        <w:spacing w:after="0"/>
        <w:jc w:val="both"/>
        <w:rPr>
          <w:rFonts w:cs="Arial"/>
          <w:lang w:val="en-ZA"/>
        </w:rPr>
      </w:pPr>
    </w:p>
    <w:p w14:paraId="2BB8D8F2" w14:textId="0465AA20" w:rsidR="00B26CBC" w:rsidRPr="002D3852" w:rsidRDefault="00B26CBC" w:rsidP="00BF572E">
      <w:pPr>
        <w:tabs>
          <w:tab w:val="left" w:pos="601"/>
        </w:tabs>
        <w:spacing w:before="3" w:line="276" w:lineRule="auto"/>
        <w:jc w:val="both"/>
        <w:rPr>
          <w:rFonts w:cs="Arial"/>
          <w:lang w:val="en-ZA"/>
        </w:rPr>
      </w:pPr>
      <w:r w:rsidRPr="002D3852">
        <w:rPr>
          <w:rFonts w:cs="Arial"/>
          <w:lang w:val="en-ZA"/>
        </w:rPr>
        <w:t xml:space="preserve">The salient dates relating to the </w:t>
      </w:r>
      <w:r w:rsidR="00FF5F31">
        <w:rPr>
          <w:rFonts w:cs="Arial"/>
          <w:lang w:val="en-ZA"/>
        </w:rPr>
        <w:t>d</w:t>
      </w:r>
      <w:r w:rsidRPr="002D3852">
        <w:rPr>
          <w:rFonts w:cs="Arial"/>
          <w:lang w:val="en-ZA"/>
        </w:rPr>
        <w:t>ividend are as follows:</w:t>
      </w:r>
    </w:p>
    <w:tbl>
      <w:tblPr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314"/>
      </w:tblGrid>
      <w:tr w:rsidR="00B26CBC" w:rsidRPr="002D3852" w14:paraId="6B7FF26B" w14:textId="77777777" w:rsidTr="00A230C8">
        <w:tc>
          <w:tcPr>
            <w:tcW w:w="4928" w:type="dxa"/>
          </w:tcPr>
          <w:p w14:paraId="6D677D2D" w14:textId="270A41E9" w:rsidR="00B26CBC" w:rsidRPr="002D3852" w:rsidRDefault="00B26CBC" w:rsidP="00BF572E">
            <w:pPr>
              <w:tabs>
                <w:tab w:val="left" w:pos="601"/>
              </w:tabs>
              <w:spacing w:before="3" w:line="276" w:lineRule="auto"/>
              <w:jc w:val="both"/>
              <w:rPr>
                <w:rFonts w:cs="Arial"/>
                <w:lang w:val="en-ZA"/>
              </w:rPr>
            </w:pPr>
            <w:r w:rsidRPr="002D3852">
              <w:rPr>
                <w:rFonts w:cs="Arial"/>
                <w:lang w:val="en-ZA"/>
              </w:rPr>
              <w:t xml:space="preserve">Last day to trade </w:t>
            </w:r>
            <w:r w:rsidR="009C30E7">
              <w:rPr>
                <w:rFonts w:cs="Arial"/>
                <w:lang w:val="en-ZA"/>
              </w:rPr>
              <w:t>"</w:t>
            </w:r>
            <w:r w:rsidRPr="002D3852">
              <w:rPr>
                <w:rFonts w:cs="Arial"/>
                <w:lang w:val="en-ZA"/>
              </w:rPr>
              <w:t>cum</w:t>
            </w:r>
            <w:r w:rsidR="009C30E7">
              <w:rPr>
                <w:rFonts w:cs="Arial"/>
                <w:lang w:val="en-ZA"/>
              </w:rPr>
              <w:t>"</w:t>
            </w:r>
            <w:r w:rsidRPr="002D3852">
              <w:rPr>
                <w:rFonts w:cs="Arial"/>
                <w:lang w:val="en-ZA"/>
              </w:rPr>
              <w:t xml:space="preserve"> the </w:t>
            </w:r>
            <w:r w:rsidR="00FF5F31">
              <w:rPr>
                <w:rFonts w:cs="Arial"/>
                <w:lang w:val="en-ZA"/>
              </w:rPr>
              <w:t>d</w:t>
            </w:r>
            <w:r w:rsidRPr="002D3852">
              <w:rPr>
                <w:rFonts w:cs="Arial"/>
                <w:lang w:val="en-ZA"/>
              </w:rPr>
              <w:t>ividend</w:t>
            </w:r>
          </w:p>
        </w:tc>
        <w:tc>
          <w:tcPr>
            <w:tcW w:w="4314" w:type="dxa"/>
          </w:tcPr>
          <w:p w14:paraId="363A0934" w14:textId="0FCBE42E" w:rsidR="00B26CBC" w:rsidRPr="002D3852" w:rsidRDefault="00EC6555" w:rsidP="00BF572E">
            <w:pPr>
              <w:tabs>
                <w:tab w:val="left" w:pos="601"/>
              </w:tabs>
              <w:spacing w:before="3" w:line="276" w:lineRule="auto"/>
              <w:jc w:val="both"/>
              <w:rPr>
                <w:rFonts w:cs="Arial"/>
                <w:lang w:val="en-ZA"/>
              </w:rPr>
            </w:pPr>
            <w:r w:rsidRPr="002D3852">
              <w:rPr>
                <w:rFonts w:cs="Arial"/>
                <w:lang w:val="en-ZA"/>
              </w:rPr>
              <w:t xml:space="preserve">Tuesday, </w:t>
            </w:r>
            <w:r w:rsidR="00FF739F" w:rsidRPr="002D3852">
              <w:rPr>
                <w:rFonts w:cs="Arial"/>
                <w:lang w:val="en-ZA"/>
              </w:rPr>
              <w:t>11</w:t>
            </w:r>
            <w:r w:rsidRPr="002D3852">
              <w:rPr>
                <w:rFonts w:cs="Arial"/>
                <w:lang w:val="en-ZA"/>
              </w:rPr>
              <w:t xml:space="preserve"> October</w:t>
            </w:r>
            <w:r w:rsidR="00B26CBC" w:rsidRPr="002D3852">
              <w:rPr>
                <w:rFonts w:cs="Arial"/>
                <w:lang w:val="en-ZA"/>
              </w:rPr>
              <w:t xml:space="preserve"> 202</w:t>
            </w:r>
            <w:r w:rsidR="000C4335" w:rsidRPr="002D3852">
              <w:rPr>
                <w:rFonts w:cs="Arial"/>
                <w:lang w:val="en-ZA"/>
              </w:rPr>
              <w:t>2</w:t>
            </w:r>
          </w:p>
        </w:tc>
      </w:tr>
      <w:tr w:rsidR="00B26CBC" w:rsidRPr="002D3852" w14:paraId="4601FB84" w14:textId="77777777" w:rsidTr="00A230C8">
        <w:tc>
          <w:tcPr>
            <w:tcW w:w="4928" w:type="dxa"/>
          </w:tcPr>
          <w:p w14:paraId="2683ED9B" w14:textId="139D8DF2" w:rsidR="00B26CBC" w:rsidRPr="002D3852" w:rsidRDefault="00B743CA" w:rsidP="00BF572E">
            <w:pPr>
              <w:tabs>
                <w:tab w:val="left" w:pos="601"/>
              </w:tabs>
              <w:spacing w:before="3" w:line="276" w:lineRule="auto"/>
              <w:jc w:val="both"/>
              <w:rPr>
                <w:rFonts w:cs="Arial"/>
                <w:lang w:val="en-ZA"/>
              </w:rPr>
            </w:pPr>
            <w:r w:rsidRPr="002D3852">
              <w:rPr>
                <w:rFonts w:cs="Arial"/>
                <w:lang w:val="en-ZA"/>
              </w:rPr>
              <w:t>S</w:t>
            </w:r>
            <w:r w:rsidR="00B26CBC" w:rsidRPr="002D3852">
              <w:rPr>
                <w:rFonts w:cs="Arial"/>
                <w:lang w:val="en-ZA"/>
              </w:rPr>
              <w:t xml:space="preserve">hares commence trading “ex” the </w:t>
            </w:r>
            <w:r w:rsidR="00FF5F31">
              <w:rPr>
                <w:rFonts w:cs="Arial"/>
                <w:lang w:val="en-ZA"/>
              </w:rPr>
              <w:t>d</w:t>
            </w:r>
            <w:r w:rsidR="00B26CBC" w:rsidRPr="002D3852">
              <w:rPr>
                <w:rFonts w:cs="Arial"/>
                <w:lang w:val="en-ZA"/>
              </w:rPr>
              <w:t xml:space="preserve">ividend </w:t>
            </w:r>
          </w:p>
        </w:tc>
        <w:tc>
          <w:tcPr>
            <w:tcW w:w="4314" w:type="dxa"/>
          </w:tcPr>
          <w:p w14:paraId="2E3F1B2B" w14:textId="1BFD7FD2" w:rsidR="00B26CBC" w:rsidRPr="002D3852" w:rsidRDefault="00EC6555" w:rsidP="00BF572E">
            <w:pPr>
              <w:tabs>
                <w:tab w:val="left" w:pos="601"/>
              </w:tabs>
              <w:spacing w:before="3" w:line="276" w:lineRule="auto"/>
              <w:jc w:val="both"/>
              <w:rPr>
                <w:rFonts w:cs="Arial"/>
                <w:lang w:val="en-ZA"/>
              </w:rPr>
            </w:pPr>
            <w:r w:rsidRPr="002D3852">
              <w:rPr>
                <w:rFonts w:cs="Arial"/>
                <w:lang w:val="en-ZA"/>
              </w:rPr>
              <w:t xml:space="preserve">Wednesday, </w:t>
            </w:r>
            <w:r w:rsidR="00FF739F" w:rsidRPr="002D3852">
              <w:rPr>
                <w:rFonts w:cs="Arial"/>
                <w:lang w:val="en-ZA"/>
              </w:rPr>
              <w:t>12</w:t>
            </w:r>
            <w:r w:rsidRPr="002D3852">
              <w:rPr>
                <w:rFonts w:cs="Arial"/>
                <w:lang w:val="en-ZA"/>
              </w:rPr>
              <w:t xml:space="preserve"> October 2022</w:t>
            </w:r>
          </w:p>
        </w:tc>
      </w:tr>
      <w:tr w:rsidR="00B26CBC" w:rsidRPr="002D3852" w14:paraId="5E088C29" w14:textId="77777777" w:rsidTr="00A230C8">
        <w:tc>
          <w:tcPr>
            <w:tcW w:w="4928" w:type="dxa"/>
          </w:tcPr>
          <w:p w14:paraId="551AC7F3" w14:textId="1E5B34AA" w:rsidR="00B26CBC" w:rsidRPr="002D3852" w:rsidRDefault="00B743CA" w:rsidP="00BF572E">
            <w:pPr>
              <w:tabs>
                <w:tab w:val="left" w:pos="601"/>
              </w:tabs>
              <w:spacing w:before="3" w:line="276" w:lineRule="auto"/>
              <w:jc w:val="both"/>
              <w:rPr>
                <w:rFonts w:cs="Arial"/>
                <w:lang w:val="en-ZA"/>
              </w:rPr>
            </w:pPr>
            <w:r w:rsidRPr="002D3852">
              <w:rPr>
                <w:rFonts w:cs="Arial"/>
                <w:lang w:val="en-ZA"/>
              </w:rPr>
              <w:t>D</w:t>
            </w:r>
            <w:r w:rsidR="00B26CBC" w:rsidRPr="002D3852">
              <w:rPr>
                <w:rFonts w:cs="Arial"/>
                <w:lang w:val="en-ZA"/>
              </w:rPr>
              <w:t>ividend record date</w:t>
            </w:r>
          </w:p>
        </w:tc>
        <w:tc>
          <w:tcPr>
            <w:tcW w:w="4314" w:type="dxa"/>
          </w:tcPr>
          <w:p w14:paraId="7F759CAD" w14:textId="671D5D39" w:rsidR="00B26CBC" w:rsidRPr="002D3852" w:rsidRDefault="00EC6555" w:rsidP="00BF572E">
            <w:pPr>
              <w:tabs>
                <w:tab w:val="left" w:pos="601"/>
              </w:tabs>
              <w:spacing w:before="3" w:line="276" w:lineRule="auto"/>
              <w:jc w:val="both"/>
              <w:rPr>
                <w:rFonts w:cs="Arial"/>
                <w:lang w:val="en-ZA"/>
              </w:rPr>
            </w:pPr>
            <w:r w:rsidRPr="002D3852">
              <w:rPr>
                <w:rFonts w:cs="Arial"/>
                <w:lang w:val="en-ZA"/>
              </w:rPr>
              <w:t xml:space="preserve">Friday, </w:t>
            </w:r>
            <w:r w:rsidR="00FF739F" w:rsidRPr="002D3852">
              <w:rPr>
                <w:rFonts w:cs="Arial"/>
                <w:lang w:val="en-ZA"/>
              </w:rPr>
              <w:t>14</w:t>
            </w:r>
            <w:r w:rsidRPr="002D3852">
              <w:rPr>
                <w:rFonts w:cs="Arial"/>
                <w:lang w:val="en-ZA"/>
              </w:rPr>
              <w:t xml:space="preserve"> October </w:t>
            </w:r>
            <w:r w:rsidR="00B26CBC" w:rsidRPr="002D3852">
              <w:rPr>
                <w:rFonts w:cs="Arial"/>
                <w:lang w:val="en-ZA"/>
              </w:rPr>
              <w:t>202</w:t>
            </w:r>
            <w:r w:rsidR="000C4335" w:rsidRPr="002D3852">
              <w:rPr>
                <w:rFonts w:cs="Arial"/>
                <w:lang w:val="en-ZA"/>
              </w:rPr>
              <w:t>2</w:t>
            </w:r>
          </w:p>
        </w:tc>
      </w:tr>
      <w:tr w:rsidR="00B26CBC" w:rsidRPr="002D3852" w14:paraId="5CA1E7DE" w14:textId="77777777" w:rsidTr="00A230C8">
        <w:tc>
          <w:tcPr>
            <w:tcW w:w="4928" w:type="dxa"/>
          </w:tcPr>
          <w:p w14:paraId="08F5EFB8" w14:textId="1A70F329" w:rsidR="00B26CBC" w:rsidRPr="002D3852" w:rsidRDefault="00B26CBC" w:rsidP="00BF572E">
            <w:pPr>
              <w:tabs>
                <w:tab w:val="left" w:pos="601"/>
              </w:tabs>
              <w:spacing w:before="3" w:line="276" w:lineRule="auto"/>
              <w:jc w:val="both"/>
              <w:rPr>
                <w:rFonts w:cs="Arial"/>
                <w:highlight w:val="green"/>
                <w:lang w:val="en-ZA"/>
              </w:rPr>
            </w:pPr>
            <w:r w:rsidRPr="002D3852">
              <w:rPr>
                <w:rFonts w:cs="Arial"/>
                <w:lang w:val="en-ZA"/>
              </w:rPr>
              <w:t xml:space="preserve">Payment date of </w:t>
            </w:r>
            <w:r w:rsidR="00E156D6">
              <w:rPr>
                <w:rFonts w:cs="Arial"/>
                <w:lang w:val="en-ZA"/>
              </w:rPr>
              <w:t>d</w:t>
            </w:r>
            <w:r w:rsidRPr="002D3852">
              <w:rPr>
                <w:rFonts w:cs="Arial"/>
                <w:lang w:val="en-ZA"/>
              </w:rPr>
              <w:t>ividend</w:t>
            </w:r>
          </w:p>
        </w:tc>
        <w:tc>
          <w:tcPr>
            <w:tcW w:w="4314" w:type="dxa"/>
          </w:tcPr>
          <w:p w14:paraId="5DFA0BC2" w14:textId="6C8E4DEA" w:rsidR="00B26CBC" w:rsidRPr="002D3852" w:rsidRDefault="00B35072" w:rsidP="00BF572E">
            <w:pPr>
              <w:tabs>
                <w:tab w:val="left" w:pos="601"/>
              </w:tabs>
              <w:spacing w:before="3" w:line="276" w:lineRule="auto"/>
              <w:jc w:val="both"/>
              <w:rPr>
                <w:rFonts w:cs="Arial"/>
                <w:lang w:val="en-ZA"/>
              </w:rPr>
            </w:pPr>
            <w:r w:rsidRPr="002D3852">
              <w:rPr>
                <w:rFonts w:cs="Arial"/>
                <w:lang w:val="en-ZA"/>
              </w:rPr>
              <w:t>Monday</w:t>
            </w:r>
            <w:r w:rsidR="00B26CBC" w:rsidRPr="002D3852">
              <w:rPr>
                <w:rFonts w:cs="Arial"/>
                <w:lang w:val="en-ZA"/>
              </w:rPr>
              <w:t xml:space="preserve">, </w:t>
            </w:r>
            <w:r w:rsidR="00EC6555" w:rsidRPr="002D3852">
              <w:rPr>
                <w:rFonts w:cs="Arial"/>
                <w:lang w:val="en-ZA"/>
              </w:rPr>
              <w:t>1</w:t>
            </w:r>
            <w:r w:rsidR="00FF739F" w:rsidRPr="002D3852">
              <w:rPr>
                <w:rFonts w:cs="Arial"/>
                <w:lang w:val="en-ZA"/>
              </w:rPr>
              <w:t>7</w:t>
            </w:r>
            <w:r w:rsidR="00B26CBC" w:rsidRPr="002D3852">
              <w:rPr>
                <w:rFonts w:cs="Arial"/>
                <w:lang w:val="en-ZA"/>
              </w:rPr>
              <w:t xml:space="preserve"> </w:t>
            </w:r>
            <w:r w:rsidR="000C4335" w:rsidRPr="002D3852">
              <w:rPr>
                <w:rFonts w:cs="Arial"/>
                <w:lang w:val="en-ZA"/>
              </w:rPr>
              <w:t>Octo</w:t>
            </w:r>
            <w:r w:rsidR="00B26CBC" w:rsidRPr="002D3852">
              <w:rPr>
                <w:rFonts w:cs="Arial"/>
                <w:lang w:val="en-ZA"/>
              </w:rPr>
              <w:t>ber 202</w:t>
            </w:r>
            <w:r w:rsidR="000C4335" w:rsidRPr="002D3852">
              <w:rPr>
                <w:rFonts w:cs="Arial"/>
                <w:lang w:val="en-ZA"/>
              </w:rPr>
              <w:t>2</w:t>
            </w:r>
          </w:p>
        </w:tc>
      </w:tr>
    </w:tbl>
    <w:p w14:paraId="7070294A" w14:textId="575D5CB6" w:rsidR="00EC6555" w:rsidRPr="002D3852" w:rsidRDefault="00B743CA" w:rsidP="00EC6555">
      <w:pPr>
        <w:rPr>
          <w:rFonts w:cs="Arial"/>
          <w:lang w:val="en-ZA"/>
        </w:rPr>
      </w:pPr>
      <w:r w:rsidRPr="002D3852">
        <w:rPr>
          <w:rFonts w:cs="Arial"/>
          <w:lang w:val="en-ZA"/>
        </w:rPr>
        <w:t>S</w:t>
      </w:r>
      <w:r w:rsidR="00B26CBC" w:rsidRPr="002D3852">
        <w:rPr>
          <w:rFonts w:cs="Arial"/>
          <w:lang w:val="en-ZA"/>
        </w:rPr>
        <w:t xml:space="preserve">hare certificates may not be dematerialised or </w:t>
      </w:r>
      <w:proofErr w:type="spellStart"/>
      <w:r w:rsidR="00B26CBC" w:rsidRPr="002D3852">
        <w:rPr>
          <w:rFonts w:cs="Arial"/>
          <w:lang w:val="en-ZA"/>
        </w:rPr>
        <w:t>rematerialised</w:t>
      </w:r>
      <w:proofErr w:type="spellEnd"/>
      <w:r w:rsidR="00B26CBC" w:rsidRPr="002D3852">
        <w:rPr>
          <w:rFonts w:cs="Arial"/>
          <w:lang w:val="en-ZA"/>
        </w:rPr>
        <w:t xml:space="preserve"> </w:t>
      </w:r>
      <w:r w:rsidR="00EC6555" w:rsidRPr="002D3852">
        <w:rPr>
          <w:rFonts w:cs="Arial"/>
          <w:lang w:val="en-ZA"/>
        </w:rPr>
        <w:t xml:space="preserve">between Wednesday, </w:t>
      </w:r>
      <w:r w:rsidR="00FF739F" w:rsidRPr="002D3852">
        <w:rPr>
          <w:rFonts w:cs="Arial"/>
          <w:lang w:val="en-ZA"/>
        </w:rPr>
        <w:t>12</w:t>
      </w:r>
      <w:r w:rsidR="00EC6555" w:rsidRPr="002D3852">
        <w:rPr>
          <w:rFonts w:cs="Arial"/>
          <w:lang w:val="en-ZA"/>
        </w:rPr>
        <w:t xml:space="preserve"> October and Friday, </w:t>
      </w:r>
      <w:r w:rsidR="00FF739F" w:rsidRPr="002D3852">
        <w:rPr>
          <w:rFonts w:cs="Arial"/>
          <w:lang w:val="en-ZA"/>
        </w:rPr>
        <w:t>14</w:t>
      </w:r>
      <w:r w:rsidR="00EC6555" w:rsidRPr="002D3852">
        <w:rPr>
          <w:rFonts w:cs="Arial"/>
          <w:lang w:val="en-ZA"/>
        </w:rPr>
        <w:t xml:space="preserve"> October</w:t>
      </w:r>
      <w:r w:rsidR="00FF739F" w:rsidRPr="002D3852">
        <w:rPr>
          <w:rFonts w:cs="Arial"/>
          <w:lang w:val="en-ZA"/>
        </w:rPr>
        <w:t xml:space="preserve"> 2022</w:t>
      </w:r>
      <w:r w:rsidR="00EC6555" w:rsidRPr="002D3852">
        <w:rPr>
          <w:rFonts w:cs="Arial"/>
          <w:lang w:val="en-ZA"/>
        </w:rPr>
        <w:t xml:space="preserve">, both days inclusive. </w:t>
      </w:r>
    </w:p>
    <w:p w14:paraId="2379866C" w14:textId="77777777" w:rsidR="0091117C" w:rsidRDefault="0091117C" w:rsidP="00BF572E">
      <w:pPr>
        <w:spacing w:after="0"/>
        <w:jc w:val="both"/>
        <w:rPr>
          <w:rFonts w:cs="Arial"/>
          <w:b/>
        </w:rPr>
      </w:pPr>
    </w:p>
    <w:p w14:paraId="5F7D4933" w14:textId="45A34421" w:rsidR="00E312D3" w:rsidRPr="002D3852" w:rsidRDefault="00B843A6" w:rsidP="00BF572E">
      <w:pPr>
        <w:spacing w:after="0"/>
        <w:jc w:val="both"/>
        <w:rPr>
          <w:rFonts w:cs="Arial"/>
          <w:b/>
        </w:rPr>
      </w:pPr>
      <w:r w:rsidRPr="002D3852">
        <w:rPr>
          <w:rFonts w:cs="Arial"/>
          <w:b/>
        </w:rPr>
        <w:t xml:space="preserve">Short form </w:t>
      </w:r>
      <w:r w:rsidR="00E312D3" w:rsidRPr="002D3852">
        <w:rPr>
          <w:rFonts w:cs="Arial"/>
          <w:b/>
        </w:rPr>
        <w:t>Announcement</w:t>
      </w:r>
    </w:p>
    <w:p w14:paraId="646E1E90" w14:textId="77777777" w:rsidR="00132176" w:rsidRPr="002D3852" w:rsidRDefault="00132176" w:rsidP="00BF572E">
      <w:pPr>
        <w:pStyle w:val="NoSpacing"/>
        <w:jc w:val="both"/>
        <w:rPr>
          <w:rFonts w:ascii="Arial" w:hAnsi="Arial" w:cs="Arial"/>
          <w:b/>
          <w:bCs/>
          <w:lang w:eastAsia="en-ZA"/>
        </w:rPr>
      </w:pPr>
    </w:p>
    <w:p w14:paraId="6F976FDF" w14:textId="33BA96AC" w:rsidR="00132176" w:rsidRPr="002D3852" w:rsidRDefault="00132176" w:rsidP="00BF572E">
      <w:pPr>
        <w:pStyle w:val="NoSpacing"/>
        <w:jc w:val="both"/>
        <w:rPr>
          <w:rFonts w:ascii="Arial" w:hAnsi="Arial" w:cs="Arial"/>
          <w:lang w:eastAsia="en-GB"/>
        </w:rPr>
      </w:pPr>
      <w:r w:rsidRPr="002D3852">
        <w:rPr>
          <w:rFonts w:ascii="Arial" w:hAnsi="Arial" w:cs="Arial"/>
          <w:lang w:eastAsia="en-GB"/>
        </w:rPr>
        <w:t>This short-form announcement is the responsibility of the Directors of the Company and is a summary of the information in the full announcement</w:t>
      </w:r>
      <w:r w:rsidR="00893684" w:rsidRPr="002D3852">
        <w:rPr>
          <w:rFonts w:ascii="Arial" w:hAnsi="Arial" w:cs="Arial"/>
          <w:lang w:eastAsia="en-GB"/>
        </w:rPr>
        <w:t xml:space="preserve"> published on SENS on </w:t>
      </w:r>
      <w:r w:rsidR="00FF739F" w:rsidRPr="002D3852">
        <w:rPr>
          <w:rFonts w:ascii="Arial" w:hAnsi="Arial" w:cs="Arial"/>
          <w:lang w:eastAsia="en-GB"/>
        </w:rPr>
        <w:t>21</w:t>
      </w:r>
      <w:r w:rsidR="00EC6555" w:rsidRPr="002D3852">
        <w:rPr>
          <w:rFonts w:ascii="Arial" w:hAnsi="Arial" w:cs="Arial"/>
          <w:lang w:eastAsia="en-GB"/>
        </w:rPr>
        <w:t xml:space="preserve"> September </w:t>
      </w:r>
      <w:r w:rsidR="00893684" w:rsidRPr="002D3852">
        <w:rPr>
          <w:rFonts w:ascii="Arial" w:hAnsi="Arial" w:cs="Arial"/>
          <w:lang w:eastAsia="en-GB"/>
        </w:rPr>
        <w:t>202</w:t>
      </w:r>
      <w:r w:rsidR="00014DF7" w:rsidRPr="002D3852">
        <w:rPr>
          <w:rFonts w:ascii="Arial" w:hAnsi="Arial" w:cs="Arial"/>
          <w:lang w:eastAsia="en-GB"/>
        </w:rPr>
        <w:t>2</w:t>
      </w:r>
      <w:r w:rsidR="00EA72DA" w:rsidRPr="002D3852">
        <w:rPr>
          <w:rFonts w:ascii="Arial" w:hAnsi="Arial" w:cs="Arial"/>
          <w:lang w:eastAsia="en-GB"/>
        </w:rPr>
        <w:t xml:space="preserve">, </w:t>
      </w:r>
      <w:r w:rsidR="00EA72DA" w:rsidRPr="002D3852">
        <w:rPr>
          <w:rFonts w:ascii="Arial" w:hAnsi="Arial" w:cs="Arial"/>
        </w:rPr>
        <w:t>and does not contain full or complete details</w:t>
      </w:r>
      <w:r w:rsidRPr="002D3852">
        <w:rPr>
          <w:rFonts w:ascii="Arial" w:hAnsi="Arial" w:cs="Arial"/>
          <w:lang w:eastAsia="en-GB"/>
        </w:rPr>
        <w:t xml:space="preserve"> </w:t>
      </w:r>
      <w:r w:rsidR="00A27674" w:rsidRPr="002D3852">
        <w:rPr>
          <w:rFonts w:ascii="Arial" w:hAnsi="Arial" w:cs="Arial"/>
          <w:lang w:eastAsia="en-GB"/>
        </w:rPr>
        <w:t xml:space="preserve">of the full announcement, </w:t>
      </w:r>
      <w:r w:rsidRPr="002D3852">
        <w:rPr>
          <w:rFonts w:ascii="Arial" w:hAnsi="Arial" w:cs="Arial"/>
          <w:lang w:eastAsia="en-GB"/>
        </w:rPr>
        <w:t xml:space="preserve">which </w:t>
      </w:r>
      <w:r w:rsidR="00A27674" w:rsidRPr="002D3852">
        <w:rPr>
          <w:rFonts w:ascii="Arial" w:hAnsi="Arial" w:cs="Arial"/>
          <w:lang w:eastAsia="en-GB"/>
        </w:rPr>
        <w:t>is</w:t>
      </w:r>
      <w:r w:rsidRPr="002D3852">
        <w:rPr>
          <w:rFonts w:ascii="Arial" w:hAnsi="Arial" w:cs="Arial"/>
          <w:lang w:eastAsia="en-GB"/>
        </w:rPr>
        <w:t xml:space="preserve"> available for viewing on the following websites:</w:t>
      </w:r>
    </w:p>
    <w:p w14:paraId="1FABBDFE" w14:textId="77777777" w:rsidR="00132176" w:rsidRPr="002D3852" w:rsidRDefault="00132176" w:rsidP="00BF572E">
      <w:pPr>
        <w:pStyle w:val="NoSpacing"/>
        <w:jc w:val="both"/>
        <w:rPr>
          <w:rFonts w:ascii="Arial" w:hAnsi="Arial" w:cs="Arial"/>
          <w:lang w:eastAsia="en-GB"/>
        </w:rPr>
      </w:pPr>
    </w:p>
    <w:p w14:paraId="1AA4760B" w14:textId="26EFDB17" w:rsidR="00132176" w:rsidRPr="002D3852" w:rsidRDefault="00132176" w:rsidP="00BF572E">
      <w:pPr>
        <w:pStyle w:val="NoSpacing"/>
        <w:jc w:val="both"/>
        <w:rPr>
          <w:rStyle w:val="Hyperlink"/>
          <w:rFonts w:ascii="Arial" w:hAnsi="Arial" w:cs="Arial"/>
          <w:color w:val="auto"/>
        </w:rPr>
      </w:pPr>
      <w:r w:rsidRPr="002D3852">
        <w:rPr>
          <w:rFonts w:ascii="Arial" w:hAnsi="Arial" w:cs="Arial"/>
          <w:lang w:eastAsia="en-GB"/>
        </w:rPr>
        <w:t xml:space="preserve">Company’s website: </w:t>
      </w:r>
      <w:bookmarkStart w:id="2" w:name="_Hlk81206147"/>
      <w:r w:rsidR="00B12B0B" w:rsidRPr="002D3852">
        <w:fldChar w:fldCharType="begin"/>
      </w:r>
      <w:r w:rsidR="00B12B0B" w:rsidRPr="002D3852">
        <w:rPr>
          <w:rFonts w:ascii="Arial" w:hAnsi="Arial" w:cs="Arial"/>
        </w:rPr>
        <w:instrText xml:space="preserve"> HYPERLINK "https://www.sasfin.com/investor-relations/" </w:instrText>
      </w:r>
      <w:r w:rsidR="00B12B0B" w:rsidRPr="002D3852">
        <w:fldChar w:fldCharType="separate"/>
      </w:r>
      <w:r w:rsidR="0058095B" w:rsidRPr="002D3852">
        <w:rPr>
          <w:rStyle w:val="Hyperlink"/>
          <w:rFonts w:ascii="Arial" w:hAnsi="Arial" w:cs="Arial"/>
          <w:color w:val="auto"/>
        </w:rPr>
        <w:t>https://www.sasfin.com/investor-relations/</w:t>
      </w:r>
      <w:r w:rsidR="00B12B0B" w:rsidRPr="002D3852">
        <w:rPr>
          <w:rStyle w:val="Hyperlink"/>
          <w:rFonts w:ascii="Arial" w:hAnsi="Arial" w:cs="Arial"/>
          <w:color w:val="auto"/>
        </w:rPr>
        <w:fldChar w:fldCharType="end"/>
      </w:r>
      <w:bookmarkEnd w:id="2"/>
      <w:r w:rsidRPr="002D3852">
        <w:rPr>
          <w:rStyle w:val="Hyperlink"/>
          <w:rFonts w:ascii="Arial" w:hAnsi="Arial" w:cs="Arial"/>
          <w:color w:val="auto"/>
        </w:rPr>
        <w:t xml:space="preserve">. </w:t>
      </w:r>
    </w:p>
    <w:p w14:paraId="0B90347F" w14:textId="77777777" w:rsidR="00132176" w:rsidRPr="002D3852" w:rsidRDefault="00132176" w:rsidP="00BF572E">
      <w:pPr>
        <w:pStyle w:val="NoSpacing"/>
        <w:jc w:val="both"/>
        <w:rPr>
          <w:rFonts w:ascii="Arial" w:hAnsi="Arial" w:cs="Arial"/>
        </w:rPr>
      </w:pPr>
    </w:p>
    <w:p w14:paraId="363AA934" w14:textId="0FB15511" w:rsidR="00132176" w:rsidRPr="002D3852" w:rsidRDefault="00132176" w:rsidP="00BF572E">
      <w:pPr>
        <w:pStyle w:val="NoSpacing"/>
        <w:jc w:val="both"/>
        <w:rPr>
          <w:rStyle w:val="Hyperlink"/>
          <w:rFonts w:ascii="Arial" w:hAnsi="Arial" w:cs="Arial"/>
          <w:color w:val="auto"/>
        </w:rPr>
      </w:pPr>
      <w:r w:rsidRPr="002D3852">
        <w:rPr>
          <w:rFonts w:ascii="Arial" w:hAnsi="Arial" w:cs="Arial"/>
          <w:lang w:eastAsia="en-GB"/>
        </w:rPr>
        <w:t>JSE website</w:t>
      </w:r>
      <w:r w:rsidRPr="002D3852">
        <w:rPr>
          <w:rFonts w:ascii="Arial" w:hAnsi="Arial" w:cs="Arial"/>
          <w:highlight w:val="yellow"/>
          <w:lang w:eastAsia="en-GB"/>
        </w:rPr>
        <w:t xml:space="preserve">: </w:t>
      </w:r>
      <w:hyperlink r:id="rId12" w:history="1">
        <w:r w:rsidR="00FD7313" w:rsidRPr="002D3852">
          <w:rPr>
            <w:rStyle w:val="Hyperlink"/>
            <w:rFonts w:ascii="Arial" w:hAnsi="Arial" w:cs="Arial"/>
            <w:highlight w:val="yellow"/>
          </w:rPr>
          <w:t>https://senspdf.jse.co.za/documents/2022/jse/isse/sfn/sfn2022.pdf</w:t>
        </w:r>
      </w:hyperlink>
    </w:p>
    <w:p w14:paraId="55348466" w14:textId="77777777" w:rsidR="001F41E9" w:rsidRPr="002D3852" w:rsidRDefault="001F41E9" w:rsidP="00BF572E">
      <w:pPr>
        <w:autoSpaceDE w:val="0"/>
        <w:autoSpaceDN w:val="0"/>
        <w:spacing w:before="40" w:after="40"/>
        <w:jc w:val="both"/>
        <w:rPr>
          <w:rFonts w:cs="Arial"/>
          <w:lang w:eastAsia="en-GB"/>
        </w:rPr>
      </w:pPr>
    </w:p>
    <w:p w14:paraId="540A7E70" w14:textId="318F005F" w:rsidR="00F8736D" w:rsidRPr="002D3852" w:rsidRDefault="00185CD3" w:rsidP="00BF572E">
      <w:pPr>
        <w:autoSpaceDE w:val="0"/>
        <w:autoSpaceDN w:val="0"/>
        <w:spacing w:before="40" w:after="40"/>
        <w:jc w:val="both"/>
        <w:rPr>
          <w:rFonts w:cs="Arial"/>
          <w:lang w:eastAsia="en-GB"/>
        </w:rPr>
      </w:pPr>
      <w:bookmarkStart w:id="3" w:name="_Hlk81226038"/>
      <w:r w:rsidRPr="002D3852">
        <w:rPr>
          <w:rFonts w:cs="Arial"/>
          <w:lang w:eastAsia="en-GB"/>
        </w:rPr>
        <w:t xml:space="preserve">Although these financial results were themselves not </w:t>
      </w:r>
      <w:r w:rsidR="0036759D" w:rsidRPr="002D3852">
        <w:rPr>
          <w:rFonts w:cs="Arial"/>
          <w:lang w:eastAsia="en-GB"/>
        </w:rPr>
        <w:t>audited,</w:t>
      </w:r>
      <w:r w:rsidRPr="002D3852">
        <w:rPr>
          <w:rFonts w:cs="Arial"/>
          <w:lang w:eastAsia="en-GB"/>
        </w:rPr>
        <w:t xml:space="preserve"> they are extracted from the consolidated and company annual financial statements which were audited by PricewaterhouseCoopers Inc</w:t>
      </w:r>
      <w:r w:rsidR="003C0594" w:rsidRPr="002D3852">
        <w:rPr>
          <w:rFonts w:cs="Arial"/>
          <w:lang w:eastAsia="en-GB"/>
        </w:rPr>
        <w:t>, the Company’s external auditors,</w:t>
      </w:r>
      <w:r w:rsidRPr="002D3852">
        <w:rPr>
          <w:rFonts w:cs="Arial"/>
          <w:lang w:eastAsia="en-GB"/>
        </w:rPr>
        <w:t xml:space="preserve"> who issued an unmodified audit opinion on the financial statements. Their audit opinion can be viewed on the Company’s </w:t>
      </w:r>
      <w:proofErr w:type="gramStart"/>
      <w:r w:rsidRPr="002D3852">
        <w:rPr>
          <w:rFonts w:cs="Arial"/>
          <w:lang w:eastAsia="en-GB"/>
        </w:rPr>
        <w:t xml:space="preserve">website, </w:t>
      </w:r>
      <w:r w:rsidR="008A561E" w:rsidRPr="002D3852">
        <w:rPr>
          <w:rFonts w:cs="Arial"/>
          <w:lang w:eastAsia="en-GB"/>
        </w:rPr>
        <w:t>and</w:t>
      </w:r>
      <w:proofErr w:type="gramEnd"/>
      <w:r w:rsidR="008A561E" w:rsidRPr="002D3852">
        <w:rPr>
          <w:rFonts w:cs="Arial"/>
          <w:lang w:eastAsia="en-GB"/>
        </w:rPr>
        <w:t xml:space="preserve"> </w:t>
      </w:r>
      <w:r w:rsidRPr="002D3852">
        <w:rPr>
          <w:rFonts w:cs="Arial"/>
          <w:lang w:eastAsia="en-GB"/>
        </w:rPr>
        <w:t xml:space="preserve">provides </w:t>
      </w:r>
      <w:r w:rsidR="00EE46CA" w:rsidRPr="002D3852">
        <w:rPr>
          <w:rFonts w:cs="Arial"/>
          <w:lang w:eastAsia="en-GB"/>
        </w:rPr>
        <w:t xml:space="preserve">the </w:t>
      </w:r>
      <w:r w:rsidRPr="002D3852">
        <w:rPr>
          <w:rFonts w:cs="Arial"/>
          <w:lang w:eastAsia="en-GB"/>
        </w:rPr>
        <w:t>details o</w:t>
      </w:r>
      <w:r w:rsidR="00EE46CA" w:rsidRPr="002D3852">
        <w:rPr>
          <w:rFonts w:cs="Arial"/>
          <w:lang w:eastAsia="en-GB"/>
        </w:rPr>
        <w:t>f</w:t>
      </w:r>
      <w:r w:rsidRPr="002D3852">
        <w:rPr>
          <w:rFonts w:cs="Arial"/>
          <w:lang w:eastAsia="en-GB"/>
        </w:rPr>
        <w:t xml:space="preserve"> </w:t>
      </w:r>
      <w:r w:rsidR="008A561E" w:rsidRPr="002D3852">
        <w:rPr>
          <w:rFonts w:cs="Arial"/>
          <w:lang w:eastAsia="en-GB"/>
        </w:rPr>
        <w:t>certain</w:t>
      </w:r>
      <w:r w:rsidRPr="002D3852">
        <w:rPr>
          <w:rFonts w:cs="Arial"/>
          <w:lang w:eastAsia="en-GB"/>
        </w:rPr>
        <w:t xml:space="preserve"> key audit matters on pages </w:t>
      </w:r>
      <w:r w:rsidR="003F5884" w:rsidRPr="00A31CA5">
        <w:rPr>
          <w:rFonts w:cs="Arial"/>
          <w:lang w:eastAsia="en-GB"/>
        </w:rPr>
        <w:t>9 - 17</w:t>
      </w:r>
      <w:r w:rsidR="003F5884">
        <w:rPr>
          <w:rFonts w:cs="Arial"/>
          <w:lang w:eastAsia="en-GB"/>
        </w:rPr>
        <w:t xml:space="preserve"> </w:t>
      </w:r>
      <w:r w:rsidRPr="002D3852">
        <w:rPr>
          <w:rFonts w:cs="Arial"/>
          <w:lang w:eastAsia="en-GB"/>
        </w:rPr>
        <w:t>of the annual financial statements.</w:t>
      </w:r>
    </w:p>
    <w:bookmarkEnd w:id="3"/>
    <w:p w14:paraId="1FB73F77" w14:textId="77777777" w:rsidR="00F8736D" w:rsidRPr="002D3852" w:rsidRDefault="00F8736D" w:rsidP="00BF572E">
      <w:pPr>
        <w:pStyle w:val="NoSpacing"/>
        <w:jc w:val="both"/>
        <w:rPr>
          <w:rFonts w:ascii="Arial" w:hAnsi="Arial" w:cs="Arial"/>
          <w:lang w:eastAsia="en-GB"/>
        </w:rPr>
      </w:pPr>
    </w:p>
    <w:p w14:paraId="7C0ABA25" w14:textId="442C810E" w:rsidR="00132176" w:rsidRPr="002D3852" w:rsidRDefault="00132176" w:rsidP="00BF572E">
      <w:pPr>
        <w:pStyle w:val="NoSpacing"/>
        <w:jc w:val="both"/>
        <w:rPr>
          <w:rFonts w:ascii="Arial" w:hAnsi="Arial" w:cs="Arial"/>
          <w:lang w:eastAsia="en-GB"/>
        </w:rPr>
      </w:pPr>
      <w:r w:rsidRPr="002D3852">
        <w:rPr>
          <w:rFonts w:ascii="Arial" w:hAnsi="Arial" w:cs="Arial"/>
          <w:lang w:eastAsia="en-GB"/>
        </w:rPr>
        <w:t xml:space="preserve">Any investment decision by investors and/or shareholders should be based on consideration of the </w:t>
      </w:r>
      <w:r w:rsidR="006D5EC4" w:rsidRPr="002D3852">
        <w:rPr>
          <w:rFonts w:ascii="Arial" w:hAnsi="Arial" w:cs="Arial"/>
          <w:lang w:eastAsia="en-GB"/>
        </w:rPr>
        <w:t xml:space="preserve">information contained in the </w:t>
      </w:r>
      <w:r w:rsidRPr="002D3852">
        <w:rPr>
          <w:rFonts w:ascii="Arial" w:hAnsi="Arial" w:cs="Arial"/>
          <w:lang w:eastAsia="en-GB"/>
        </w:rPr>
        <w:t xml:space="preserve">full </w:t>
      </w:r>
      <w:r w:rsidR="006D5EC4" w:rsidRPr="002D3852">
        <w:rPr>
          <w:rFonts w:ascii="Arial" w:hAnsi="Arial" w:cs="Arial"/>
          <w:lang w:eastAsia="en-GB"/>
        </w:rPr>
        <w:t xml:space="preserve">financial results </w:t>
      </w:r>
      <w:r w:rsidRPr="002D3852">
        <w:rPr>
          <w:rFonts w:ascii="Arial" w:hAnsi="Arial" w:cs="Arial"/>
          <w:lang w:eastAsia="en-GB"/>
        </w:rPr>
        <w:t>announcement</w:t>
      </w:r>
      <w:r w:rsidR="00D22739" w:rsidRPr="002D3852">
        <w:rPr>
          <w:rFonts w:ascii="Arial" w:hAnsi="Arial" w:cs="Arial"/>
          <w:lang w:eastAsia="en-GB"/>
        </w:rPr>
        <w:t xml:space="preserve"> and annual financial statements</w:t>
      </w:r>
      <w:r w:rsidRPr="002D3852">
        <w:rPr>
          <w:rFonts w:ascii="Arial" w:hAnsi="Arial" w:cs="Arial"/>
          <w:lang w:eastAsia="en-GB"/>
        </w:rPr>
        <w:t xml:space="preserve">, copies of which are also available for inspection at our offices </w:t>
      </w:r>
      <w:r w:rsidR="00596698" w:rsidRPr="002D3852">
        <w:rPr>
          <w:rFonts w:ascii="Arial" w:hAnsi="Arial" w:cs="Arial"/>
          <w:lang w:eastAsia="en-GB"/>
        </w:rPr>
        <w:t xml:space="preserve">or at a secure electronic location, </w:t>
      </w:r>
      <w:r w:rsidRPr="002D3852">
        <w:rPr>
          <w:rFonts w:ascii="Arial" w:hAnsi="Arial" w:cs="Arial"/>
          <w:lang w:eastAsia="en-GB"/>
        </w:rPr>
        <w:t>on workdays during business hours</w:t>
      </w:r>
      <w:r w:rsidR="00A72B1E" w:rsidRPr="002D3852">
        <w:rPr>
          <w:rFonts w:ascii="Arial" w:hAnsi="Arial" w:cs="Arial"/>
          <w:lang w:eastAsia="en-GB"/>
        </w:rPr>
        <w:t xml:space="preserve"> (</w:t>
      </w:r>
      <w:r w:rsidRPr="002D3852">
        <w:rPr>
          <w:rFonts w:ascii="Arial" w:hAnsi="Arial" w:cs="Arial"/>
          <w:lang w:eastAsia="en-GB"/>
        </w:rPr>
        <w:t>at no charge</w:t>
      </w:r>
      <w:r w:rsidR="00A72B1E" w:rsidRPr="002D3852">
        <w:rPr>
          <w:rFonts w:ascii="Arial" w:hAnsi="Arial" w:cs="Arial"/>
          <w:lang w:eastAsia="en-GB"/>
        </w:rPr>
        <w:t>)</w:t>
      </w:r>
      <w:r w:rsidR="00893684" w:rsidRPr="002D3852">
        <w:rPr>
          <w:rFonts w:ascii="Arial" w:hAnsi="Arial" w:cs="Arial"/>
          <w:lang w:eastAsia="en-GB"/>
        </w:rPr>
        <w:t xml:space="preserve"> on request from the company secretary by e-mail: charissa.dejager@sasfin.com</w:t>
      </w:r>
      <w:r w:rsidR="0058095B" w:rsidRPr="002D3852">
        <w:rPr>
          <w:rFonts w:ascii="Arial" w:hAnsi="Arial" w:cs="Arial"/>
          <w:lang w:eastAsia="en-GB"/>
        </w:rPr>
        <w:t>.</w:t>
      </w:r>
    </w:p>
    <w:p w14:paraId="5A52A890" w14:textId="251D62EC" w:rsidR="00464B5D" w:rsidRPr="002D3852" w:rsidRDefault="00464B5D" w:rsidP="00BF572E">
      <w:pPr>
        <w:spacing w:after="0"/>
        <w:jc w:val="both"/>
        <w:rPr>
          <w:rFonts w:cs="Arial"/>
        </w:rPr>
      </w:pPr>
    </w:p>
    <w:p w14:paraId="5F572E71" w14:textId="7368C8E1" w:rsidR="00E312D3" w:rsidRPr="002D3852" w:rsidRDefault="00E312D3" w:rsidP="00BF572E">
      <w:pPr>
        <w:spacing w:after="0"/>
        <w:jc w:val="both"/>
        <w:rPr>
          <w:rFonts w:cs="Arial"/>
        </w:rPr>
      </w:pPr>
    </w:p>
    <w:p w14:paraId="2E9D8449" w14:textId="302C7C66" w:rsidR="00E312D3" w:rsidRPr="002D3852" w:rsidRDefault="0036759D" w:rsidP="00BF572E">
      <w:pPr>
        <w:spacing w:after="0"/>
        <w:jc w:val="both"/>
        <w:rPr>
          <w:rFonts w:cs="Arial"/>
        </w:rPr>
      </w:pPr>
      <w:r w:rsidRPr="002D3852">
        <w:rPr>
          <w:rFonts w:cs="Arial"/>
          <w:b/>
        </w:rPr>
        <w:t>Mr.</w:t>
      </w:r>
      <w:r w:rsidR="0058095B" w:rsidRPr="002D3852">
        <w:rPr>
          <w:rFonts w:cs="Arial"/>
          <w:b/>
        </w:rPr>
        <w:t xml:space="preserve"> </w:t>
      </w:r>
      <w:r w:rsidR="00E1439F" w:rsidRPr="002D3852">
        <w:rPr>
          <w:rFonts w:cs="Arial"/>
          <w:b/>
        </w:rPr>
        <w:t>Deon de Kock</w:t>
      </w:r>
      <w:r w:rsidR="00E312D3" w:rsidRPr="002D3852">
        <w:rPr>
          <w:rFonts w:cs="Arial"/>
        </w:rPr>
        <w:tab/>
      </w:r>
      <w:r w:rsidR="00E312D3" w:rsidRPr="002D3852">
        <w:rPr>
          <w:rFonts w:cs="Arial"/>
        </w:rPr>
        <w:tab/>
      </w:r>
      <w:r w:rsidR="00E312D3" w:rsidRPr="002D3852">
        <w:rPr>
          <w:rFonts w:cs="Arial"/>
        </w:rPr>
        <w:tab/>
      </w:r>
      <w:r w:rsidR="00E312D3" w:rsidRPr="002D3852">
        <w:rPr>
          <w:rFonts w:cs="Arial"/>
        </w:rPr>
        <w:tab/>
      </w:r>
      <w:r w:rsidR="00E312D3" w:rsidRPr="002D3852">
        <w:rPr>
          <w:rFonts w:cs="Arial"/>
        </w:rPr>
        <w:tab/>
      </w:r>
      <w:r w:rsidRPr="002D3852">
        <w:rPr>
          <w:rFonts w:cs="Arial"/>
          <w:b/>
        </w:rPr>
        <w:t>Mr.</w:t>
      </w:r>
      <w:r w:rsidR="00E312D3" w:rsidRPr="002D3852">
        <w:rPr>
          <w:rFonts w:cs="Arial"/>
          <w:b/>
        </w:rPr>
        <w:t xml:space="preserve"> </w:t>
      </w:r>
      <w:r w:rsidR="0058095B" w:rsidRPr="002D3852">
        <w:rPr>
          <w:rFonts w:cs="Arial"/>
          <w:b/>
        </w:rPr>
        <w:t>Michael Sassoon</w:t>
      </w:r>
    </w:p>
    <w:p w14:paraId="6BE8B930" w14:textId="7D4CDC63" w:rsidR="00E312D3" w:rsidRPr="002D3852" w:rsidRDefault="00E312D3" w:rsidP="00BF572E">
      <w:pPr>
        <w:spacing w:after="0"/>
        <w:jc w:val="both"/>
        <w:rPr>
          <w:rFonts w:cs="Arial"/>
        </w:rPr>
      </w:pPr>
      <w:r w:rsidRPr="002D3852">
        <w:rPr>
          <w:rFonts w:cs="Arial"/>
        </w:rPr>
        <w:t>Chair</w:t>
      </w:r>
      <w:r w:rsidRPr="002D3852">
        <w:rPr>
          <w:rFonts w:cs="Arial"/>
        </w:rPr>
        <w:tab/>
      </w:r>
      <w:r w:rsidRPr="002D3852">
        <w:rPr>
          <w:rFonts w:cs="Arial"/>
        </w:rPr>
        <w:tab/>
      </w:r>
      <w:r w:rsidRPr="002D3852">
        <w:rPr>
          <w:rFonts w:cs="Arial"/>
        </w:rPr>
        <w:tab/>
      </w:r>
      <w:r w:rsidRPr="002D3852">
        <w:rPr>
          <w:rFonts w:cs="Arial"/>
        </w:rPr>
        <w:tab/>
      </w:r>
      <w:r w:rsidRPr="002D3852">
        <w:rPr>
          <w:rFonts w:cs="Arial"/>
        </w:rPr>
        <w:tab/>
      </w:r>
      <w:r w:rsidRPr="002D3852">
        <w:rPr>
          <w:rFonts w:cs="Arial"/>
        </w:rPr>
        <w:tab/>
      </w:r>
      <w:r w:rsidR="00F6338F" w:rsidRPr="002D3852">
        <w:rPr>
          <w:rFonts w:cs="Arial"/>
        </w:rPr>
        <w:tab/>
      </w:r>
      <w:r w:rsidRPr="002D3852">
        <w:rPr>
          <w:rFonts w:cs="Arial"/>
        </w:rPr>
        <w:t>Group Chief Executive Officer</w:t>
      </w:r>
    </w:p>
    <w:p w14:paraId="5A154A04" w14:textId="77777777" w:rsidR="00E312D3" w:rsidRPr="002D3852" w:rsidRDefault="00E312D3" w:rsidP="00BF572E">
      <w:pPr>
        <w:spacing w:after="0"/>
        <w:jc w:val="both"/>
        <w:rPr>
          <w:rFonts w:cs="Arial"/>
        </w:rPr>
      </w:pPr>
    </w:p>
    <w:p w14:paraId="7DC564B9" w14:textId="77777777" w:rsidR="00E312D3" w:rsidRPr="002D3852" w:rsidRDefault="00E312D3" w:rsidP="00BF572E">
      <w:pPr>
        <w:spacing w:after="0"/>
        <w:jc w:val="both"/>
        <w:rPr>
          <w:rFonts w:cs="Arial"/>
        </w:rPr>
      </w:pPr>
      <w:r w:rsidRPr="002D3852">
        <w:rPr>
          <w:rFonts w:cs="Arial"/>
        </w:rPr>
        <w:t>Johannesburg</w:t>
      </w:r>
    </w:p>
    <w:p w14:paraId="18B61548" w14:textId="1833152F" w:rsidR="00E312D3" w:rsidRPr="002D3852" w:rsidRDefault="00FF739F" w:rsidP="00BF572E">
      <w:pPr>
        <w:spacing w:after="0"/>
        <w:jc w:val="both"/>
        <w:rPr>
          <w:rFonts w:cs="Arial"/>
        </w:rPr>
      </w:pPr>
      <w:r w:rsidRPr="002D3852">
        <w:rPr>
          <w:rFonts w:cs="Arial"/>
        </w:rPr>
        <w:t>21</w:t>
      </w:r>
      <w:r w:rsidR="00F8736D" w:rsidRPr="002D3852">
        <w:rPr>
          <w:rFonts w:cs="Arial"/>
        </w:rPr>
        <w:t xml:space="preserve"> </w:t>
      </w:r>
      <w:r w:rsidR="00995F16" w:rsidRPr="002D3852">
        <w:rPr>
          <w:rFonts w:cs="Arial"/>
        </w:rPr>
        <w:t>September</w:t>
      </w:r>
      <w:r w:rsidR="00F8736D" w:rsidRPr="002D3852">
        <w:rPr>
          <w:rFonts w:cs="Arial"/>
        </w:rPr>
        <w:t xml:space="preserve"> 202</w:t>
      </w:r>
      <w:r w:rsidR="005C2B2B" w:rsidRPr="002D3852">
        <w:rPr>
          <w:rFonts w:cs="Arial"/>
        </w:rPr>
        <w:t>2</w:t>
      </w:r>
    </w:p>
    <w:p w14:paraId="7CBB1CE3" w14:textId="31501FE2" w:rsidR="00D37F9D" w:rsidRPr="002D3852" w:rsidRDefault="00D37F9D" w:rsidP="00BF572E">
      <w:pPr>
        <w:spacing w:after="0"/>
        <w:jc w:val="both"/>
        <w:rPr>
          <w:rFonts w:cs="Arial"/>
        </w:rPr>
      </w:pPr>
    </w:p>
    <w:p w14:paraId="69E3FED6" w14:textId="35AD2707" w:rsidR="00D37F9D" w:rsidRPr="002D3852" w:rsidRDefault="00D37F9D" w:rsidP="00BF572E">
      <w:pPr>
        <w:spacing w:after="0"/>
        <w:jc w:val="both"/>
        <w:rPr>
          <w:rFonts w:cs="Arial"/>
        </w:rPr>
      </w:pPr>
      <w:r w:rsidRPr="002D3852">
        <w:rPr>
          <w:rFonts w:cs="Arial"/>
        </w:rPr>
        <w:t xml:space="preserve">Sponsor: </w:t>
      </w:r>
      <w:r w:rsidR="00EC6555" w:rsidRPr="002D3852">
        <w:rPr>
          <w:rFonts w:cs="Arial"/>
        </w:rPr>
        <w:t>Questco Corporate Services (Pty) Ltd</w:t>
      </w:r>
    </w:p>
    <w:p w14:paraId="11A1B560" w14:textId="274E3820" w:rsidR="00D37F9D" w:rsidRPr="002D3852" w:rsidRDefault="00D37F9D" w:rsidP="00BF572E">
      <w:pPr>
        <w:spacing w:after="0"/>
        <w:jc w:val="both"/>
        <w:rPr>
          <w:rFonts w:cs="Arial"/>
        </w:rPr>
      </w:pPr>
    </w:p>
    <w:p w14:paraId="3F5D22E7" w14:textId="494F5DE8" w:rsidR="00D37F9D" w:rsidRPr="002D3852" w:rsidRDefault="00D37F9D" w:rsidP="00BF572E">
      <w:pPr>
        <w:spacing w:after="0"/>
        <w:jc w:val="both"/>
        <w:rPr>
          <w:rFonts w:cs="Arial"/>
        </w:rPr>
      </w:pPr>
    </w:p>
    <w:sectPr w:rsidR="00D37F9D" w:rsidRPr="002D3852" w:rsidSect="00464B5D">
      <w:footnotePr>
        <w:numFmt w:val="chicago"/>
      </w:footnotePr>
      <w:pgSz w:w="11907" w:h="16839" w:code="9"/>
      <w:pgMar w:top="1440" w:right="113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ADB6B" w14:textId="77777777" w:rsidR="00047EBF" w:rsidRDefault="00047EBF" w:rsidP="00685753">
      <w:pPr>
        <w:spacing w:after="0"/>
      </w:pPr>
      <w:r>
        <w:separator/>
      </w:r>
    </w:p>
  </w:endnote>
  <w:endnote w:type="continuationSeparator" w:id="0">
    <w:p w14:paraId="4A6F0BF5" w14:textId="77777777" w:rsidR="00047EBF" w:rsidRDefault="00047EBF" w:rsidP="006857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1881" w14:textId="77777777" w:rsidR="00047EBF" w:rsidRDefault="00047EBF" w:rsidP="00685753">
      <w:pPr>
        <w:spacing w:after="0"/>
      </w:pPr>
      <w:r>
        <w:separator/>
      </w:r>
    </w:p>
  </w:footnote>
  <w:footnote w:type="continuationSeparator" w:id="0">
    <w:p w14:paraId="3D0202F7" w14:textId="77777777" w:rsidR="00047EBF" w:rsidRDefault="00047EBF" w:rsidP="006857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7565"/>
    <w:multiLevelType w:val="hybridMultilevel"/>
    <w:tmpl w:val="48E027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C3793"/>
    <w:multiLevelType w:val="hybridMultilevel"/>
    <w:tmpl w:val="7EF63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E4BB8"/>
    <w:multiLevelType w:val="hybridMultilevel"/>
    <w:tmpl w:val="1ABAD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42FD7"/>
    <w:multiLevelType w:val="hybridMultilevel"/>
    <w:tmpl w:val="946C75FA"/>
    <w:lvl w:ilvl="0" w:tplc="9A309A5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30F40"/>
    <w:multiLevelType w:val="hybridMultilevel"/>
    <w:tmpl w:val="125EFA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E30C3"/>
    <w:multiLevelType w:val="hybridMultilevel"/>
    <w:tmpl w:val="06A08C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2D1"/>
    <w:rsid w:val="00013703"/>
    <w:rsid w:val="00014DF7"/>
    <w:rsid w:val="0002475D"/>
    <w:rsid w:val="00047EBF"/>
    <w:rsid w:val="00047F8A"/>
    <w:rsid w:val="00062FDC"/>
    <w:rsid w:val="000715BA"/>
    <w:rsid w:val="0008365F"/>
    <w:rsid w:val="00084DF8"/>
    <w:rsid w:val="00090FDD"/>
    <w:rsid w:val="000A59F2"/>
    <w:rsid w:val="000C2413"/>
    <w:rsid w:val="000C4335"/>
    <w:rsid w:val="000D6D06"/>
    <w:rsid w:val="000E413E"/>
    <w:rsid w:val="000F0E77"/>
    <w:rsid w:val="00132176"/>
    <w:rsid w:val="001472C3"/>
    <w:rsid w:val="0016053B"/>
    <w:rsid w:val="00165345"/>
    <w:rsid w:val="0018088C"/>
    <w:rsid w:val="00185CD3"/>
    <w:rsid w:val="00193247"/>
    <w:rsid w:val="00195DAC"/>
    <w:rsid w:val="001A7E32"/>
    <w:rsid w:val="001B636A"/>
    <w:rsid w:val="001C6E1B"/>
    <w:rsid w:val="001D0E85"/>
    <w:rsid w:val="001E00ED"/>
    <w:rsid w:val="001E4BE5"/>
    <w:rsid w:val="001F2AF7"/>
    <w:rsid w:val="001F41E9"/>
    <w:rsid w:val="00204175"/>
    <w:rsid w:val="00217389"/>
    <w:rsid w:val="00221035"/>
    <w:rsid w:val="002449D3"/>
    <w:rsid w:val="0025070A"/>
    <w:rsid w:val="002933C8"/>
    <w:rsid w:val="002948BC"/>
    <w:rsid w:val="00296AC2"/>
    <w:rsid w:val="002A328F"/>
    <w:rsid w:val="002A6509"/>
    <w:rsid w:val="002B0300"/>
    <w:rsid w:val="002D3852"/>
    <w:rsid w:val="002D576C"/>
    <w:rsid w:val="002D73CA"/>
    <w:rsid w:val="002E139F"/>
    <w:rsid w:val="002E3462"/>
    <w:rsid w:val="003059C5"/>
    <w:rsid w:val="00306681"/>
    <w:rsid w:val="00350D70"/>
    <w:rsid w:val="003522FD"/>
    <w:rsid w:val="00357902"/>
    <w:rsid w:val="003667CC"/>
    <w:rsid w:val="0036759D"/>
    <w:rsid w:val="003710EC"/>
    <w:rsid w:val="003907F1"/>
    <w:rsid w:val="003A41BB"/>
    <w:rsid w:val="003B6CC1"/>
    <w:rsid w:val="003C0594"/>
    <w:rsid w:val="003C0C3F"/>
    <w:rsid w:val="003D4123"/>
    <w:rsid w:val="003F5884"/>
    <w:rsid w:val="003F6DD7"/>
    <w:rsid w:val="0042347C"/>
    <w:rsid w:val="00431194"/>
    <w:rsid w:val="0043598E"/>
    <w:rsid w:val="004412AB"/>
    <w:rsid w:val="00443477"/>
    <w:rsid w:val="0045752C"/>
    <w:rsid w:val="00464B5D"/>
    <w:rsid w:val="00466674"/>
    <w:rsid w:val="004755C0"/>
    <w:rsid w:val="004813F0"/>
    <w:rsid w:val="00483097"/>
    <w:rsid w:val="004903BD"/>
    <w:rsid w:val="004934BD"/>
    <w:rsid w:val="00496FF8"/>
    <w:rsid w:val="004A4B32"/>
    <w:rsid w:val="004B05DC"/>
    <w:rsid w:val="004B1BA1"/>
    <w:rsid w:val="004C0271"/>
    <w:rsid w:val="004C0C66"/>
    <w:rsid w:val="00504520"/>
    <w:rsid w:val="00514B58"/>
    <w:rsid w:val="005333E2"/>
    <w:rsid w:val="005406BE"/>
    <w:rsid w:val="005428C3"/>
    <w:rsid w:val="00543BA0"/>
    <w:rsid w:val="005444CF"/>
    <w:rsid w:val="00576A9F"/>
    <w:rsid w:val="0058095B"/>
    <w:rsid w:val="00596698"/>
    <w:rsid w:val="005A62DF"/>
    <w:rsid w:val="005B0250"/>
    <w:rsid w:val="005C2B2B"/>
    <w:rsid w:val="005F0A72"/>
    <w:rsid w:val="005F2A59"/>
    <w:rsid w:val="005F63C1"/>
    <w:rsid w:val="00602631"/>
    <w:rsid w:val="00603F84"/>
    <w:rsid w:val="0060526A"/>
    <w:rsid w:val="00607672"/>
    <w:rsid w:val="00612050"/>
    <w:rsid w:val="00623261"/>
    <w:rsid w:val="006445C8"/>
    <w:rsid w:val="006630AC"/>
    <w:rsid w:val="0067162E"/>
    <w:rsid w:val="00681F7F"/>
    <w:rsid w:val="00685753"/>
    <w:rsid w:val="006903BA"/>
    <w:rsid w:val="006927D5"/>
    <w:rsid w:val="0069544E"/>
    <w:rsid w:val="00697286"/>
    <w:rsid w:val="006A1063"/>
    <w:rsid w:val="006B4664"/>
    <w:rsid w:val="006D5EC4"/>
    <w:rsid w:val="006E4884"/>
    <w:rsid w:val="007009E8"/>
    <w:rsid w:val="0073651E"/>
    <w:rsid w:val="00741D41"/>
    <w:rsid w:val="00752A0A"/>
    <w:rsid w:val="00764ECF"/>
    <w:rsid w:val="00766A4D"/>
    <w:rsid w:val="00767830"/>
    <w:rsid w:val="0077591C"/>
    <w:rsid w:val="007839E0"/>
    <w:rsid w:val="00793AB7"/>
    <w:rsid w:val="00797F6C"/>
    <w:rsid w:val="007D3376"/>
    <w:rsid w:val="007E5241"/>
    <w:rsid w:val="007F3EA8"/>
    <w:rsid w:val="007F46EC"/>
    <w:rsid w:val="00803BD8"/>
    <w:rsid w:val="0081371C"/>
    <w:rsid w:val="008306AD"/>
    <w:rsid w:val="00832722"/>
    <w:rsid w:val="008372D1"/>
    <w:rsid w:val="00844C23"/>
    <w:rsid w:val="008511E8"/>
    <w:rsid w:val="008514B8"/>
    <w:rsid w:val="00865CDB"/>
    <w:rsid w:val="008672ED"/>
    <w:rsid w:val="008865A1"/>
    <w:rsid w:val="00893684"/>
    <w:rsid w:val="008979E9"/>
    <w:rsid w:val="008A561E"/>
    <w:rsid w:val="008C1084"/>
    <w:rsid w:val="008D4BC1"/>
    <w:rsid w:val="008D6379"/>
    <w:rsid w:val="008E637D"/>
    <w:rsid w:val="00903CCA"/>
    <w:rsid w:val="0091117C"/>
    <w:rsid w:val="00911B94"/>
    <w:rsid w:val="0091420A"/>
    <w:rsid w:val="00916F02"/>
    <w:rsid w:val="00921DBB"/>
    <w:rsid w:val="00926A7C"/>
    <w:rsid w:val="00943ADF"/>
    <w:rsid w:val="00952021"/>
    <w:rsid w:val="00984F1A"/>
    <w:rsid w:val="00986AF8"/>
    <w:rsid w:val="00987C32"/>
    <w:rsid w:val="00995F16"/>
    <w:rsid w:val="00996F9E"/>
    <w:rsid w:val="009A23F6"/>
    <w:rsid w:val="009B1689"/>
    <w:rsid w:val="009B60CA"/>
    <w:rsid w:val="009C30E7"/>
    <w:rsid w:val="009E2A1C"/>
    <w:rsid w:val="009F16FE"/>
    <w:rsid w:val="00A129FA"/>
    <w:rsid w:val="00A14127"/>
    <w:rsid w:val="00A22999"/>
    <w:rsid w:val="00A25632"/>
    <w:rsid w:val="00A27674"/>
    <w:rsid w:val="00A31CA5"/>
    <w:rsid w:val="00A72B1E"/>
    <w:rsid w:val="00AC3481"/>
    <w:rsid w:val="00AF33A6"/>
    <w:rsid w:val="00AF429A"/>
    <w:rsid w:val="00AF48A3"/>
    <w:rsid w:val="00B12B0B"/>
    <w:rsid w:val="00B157B8"/>
    <w:rsid w:val="00B219B3"/>
    <w:rsid w:val="00B26CBC"/>
    <w:rsid w:val="00B35072"/>
    <w:rsid w:val="00B5081E"/>
    <w:rsid w:val="00B5792A"/>
    <w:rsid w:val="00B628E1"/>
    <w:rsid w:val="00B66098"/>
    <w:rsid w:val="00B743CA"/>
    <w:rsid w:val="00B77AA1"/>
    <w:rsid w:val="00B8060E"/>
    <w:rsid w:val="00B83E03"/>
    <w:rsid w:val="00B843A6"/>
    <w:rsid w:val="00B90CA9"/>
    <w:rsid w:val="00BB3984"/>
    <w:rsid w:val="00BB44C4"/>
    <w:rsid w:val="00BC7199"/>
    <w:rsid w:val="00BD3E72"/>
    <w:rsid w:val="00BE1407"/>
    <w:rsid w:val="00BE50D6"/>
    <w:rsid w:val="00BF2CEB"/>
    <w:rsid w:val="00BF50D2"/>
    <w:rsid w:val="00BF572E"/>
    <w:rsid w:val="00BF5E88"/>
    <w:rsid w:val="00C03587"/>
    <w:rsid w:val="00C10877"/>
    <w:rsid w:val="00C14F20"/>
    <w:rsid w:val="00C934D6"/>
    <w:rsid w:val="00CA23FA"/>
    <w:rsid w:val="00CA2C89"/>
    <w:rsid w:val="00CC0843"/>
    <w:rsid w:val="00CC7A92"/>
    <w:rsid w:val="00CD1BFE"/>
    <w:rsid w:val="00D22739"/>
    <w:rsid w:val="00D30F24"/>
    <w:rsid w:val="00D31039"/>
    <w:rsid w:val="00D332C2"/>
    <w:rsid w:val="00D37F9D"/>
    <w:rsid w:val="00D426D3"/>
    <w:rsid w:val="00D62FDA"/>
    <w:rsid w:val="00D739FB"/>
    <w:rsid w:val="00D74B0F"/>
    <w:rsid w:val="00D83E81"/>
    <w:rsid w:val="00D857A3"/>
    <w:rsid w:val="00D87A03"/>
    <w:rsid w:val="00DA21EA"/>
    <w:rsid w:val="00DB0901"/>
    <w:rsid w:val="00DD1B6A"/>
    <w:rsid w:val="00DE390A"/>
    <w:rsid w:val="00DE4970"/>
    <w:rsid w:val="00E11E49"/>
    <w:rsid w:val="00E14385"/>
    <w:rsid w:val="00E1439F"/>
    <w:rsid w:val="00E156D6"/>
    <w:rsid w:val="00E312D3"/>
    <w:rsid w:val="00E37E8F"/>
    <w:rsid w:val="00E46F54"/>
    <w:rsid w:val="00E5072D"/>
    <w:rsid w:val="00E52699"/>
    <w:rsid w:val="00E616B4"/>
    <w:rsid w:val="00E65CD8"/>
    <w:rsid w:val="00E76B2E"/>
    <w:rsid w:val="00E85AC3"/>
    <w:rsid w:val="00EA206B"/>
    <w:rsid w:val="00EA72DA"/>
    <w:rsid w:val="00EB4B7E"/>
    <w:rsid w:val="00EC3A97"/>
    <w:rsid w:val="00EC6555"/>
    <w:rsid w:val="00EE37E8"/>
    <w:rsid w:val="00EE46CA"/>
    <w:rsid w:val="00F03B0B"/>
    <w:rsid w:val="00F35210"/>
    <w:rsid w:val="00F539AE"/>
    <w:rsid w:val="00F6338F"/>
    <w:rsid w:val="00F83588"/>
    <w:rsid w:val="00F83935"/>
    <w:rsid w:val="00F8736D"/>
    <w:rsid w:val="00FC157D"/>
    <w:rsid w:val="00FD7313"/>
    <w:rsid w:val="00FF5F31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E6C1E0"/>
  <w15:chartTrackingRefBased/>
  <w15:docId w15:val="{90DFD54A-D7C0-439E-AD97-CC8CC561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75D"/>
    <w:pPr>
      <w:spacing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7A03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character" w:customStyle="1" w:styleId="A8">
    <w:name w:val="A8"/>
    <w:uiPriority w:val="99"/>
    <w:rsid w:val="00D87A03"/>
    <w:rPr>
      <w:rFonts w:cs="Gotham Book"/>
      <w:color w:val="000000"/>
      <w:sz w:val="14"/>
      <w:szCs w:val="14"/>
    </w:rPr>
  </w:style>
  <w:style w:type="paragraph" w:styleId="ListParagraph">
    <w:name w:val="List Paragraph"/>
    <w:basedOn w:val="Normal"/>
    <w:uiPriority w:val="34"/>
    <w:qFormat/>
    <w:rsid w:val="00752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12D3"/>
    <w:rPr>
      <w:color w:val="0000FF" w:themeColor="hyperlink"/>
      <w:u w:val="single"/>
    </w:rPr>
  </w:style>
  <w:style w:type="paragraph" w:customStyle="1" w:styleId="Pa1">
    <w:name w:val="Pa1"/>
    <w:basedOn w:val="Default"/>
    <w:next w:val="Default"/>
    <w:uiPriority w:val="99"/>
    <w:rsid w:val="00B157B8"/>
    <w:pPr>
      <w:spacing w:line="261" w:lineRule="atLeast"/>
    </w:pPr>
    <w:rPr>
      <w:rFonts w:ascii="Gotham Medium" w:hAnsi="Gotham Medium" w:cstheme="minorBidi"/>
      <w:color w:val="auto"/>
      <w:lang w:val="en-ZA"/>
    </w:rPr>
  </w:style>
  <w:style w:type="character" w:customStyle="1" w:styleId="A0">
    <w:name w:val="A0"/>
    <w:uiPriority w:val="99"/>
    <w:rsid w:val="00B157B8"/>
    <w:rPr>
      <w:rFonts w:cs="Gotham Medium"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B157B8"/>
    <w:pPr>
      <w:spacing w:line="181" w:lineRule="atLeast"/>
    </w:pPr>
    <w:rPr>
      <w:rFonts w:ascii="Gotham Medium" w:hAnsi="Gotham Medium" w:cstheme="minorBidi"/>
      <w:color w:val="auto"/>
      <w:lang w:val="en-ZA"/>
    </w:rPr>
  </w:style>
  <w:style w:type="character" w:customStyle="1" w:styleId="A1">
    <w:name w:val="A1"/>
    <w:uiPriority w:val="99"/>
    <w:rsid w:val="00B157B8"/>
    <w:rPr>
      <w:rFonts w:ascii="Gotham Book" w:hAnsi="Gotham Book" w:cs="Gotham Book"/>
      <w:color w:val="000000"/>
      <w:sz w:val="14"/>
      <w:szCs w:val="14"/>
    </w:rPr>
  </w:style>
  <w:style w:type="paragraph" w:customStyle="1" w:styleId="Pa3">
    <w:name w:val="Pa3"/>
    <w:basedOn w:val="Default"/>
    <w:next w:val="Default"/>
    <w:uiPriority w:val="99"/>
    <w:rsid w:val="00B157B8"/>
    <w:pPr>
      <w:spacing w:line="181" w:lineRule="atLeast"/>
    </w:pPr>
    <w:rPr>
      <w:rFonts w:ascii="Gotham Medium" w:hAnsi="Gotham Medium" w:cstheme="minorBidi"/>
      <w:color w:val="auto"/>
      <w:lang w:val="en-ZA"/>
    </w:rPr>
  </w:style>
  <w:style w:type="paragraph" w:customStyle="1" w:styleId="Pa4">
    <w:name w:val="Pa4"/>
    <w:basedOn w:val="Default"/>
    <w:next w:val="Default"/>
    <w:uiPriority w:val="99"/>
    <w:rsid w:val="00B157B8"/>
    <w:pPr>
      <w:spacing w:line="181" w:lineRule="atLeast"/>
    </w:pPr>
    <w:rPr>
      <w:rFonts w:ascii="Gotham Medium" w:hAnsi="Gotham Medium" w:cstheme="minorBidi"/>
      <w:color w:val="auto"/>
      <w:lang w:val="en-ZA"/>
    </w:rPr>
  </w:style>
  <w:style w:type="paragraph" w:customStyle="1" w:styleId="Pa5">
    <w:name w:val="Pa5"/>
    <w:basedOn w:val="Default"/>
    <w:next w:val="Default"/>
    <w:uiPriority w:val="99"/>
    <w:rsid w:val="00B157B8"/>
    <w:pPr>
      <w:spacing w:line="181" w:lineRule="atLeast"/>
    </w:pPr>
    <w:rPr>
      <w:rFonts w:ascii="Gotham Medium" w:hAnsi="Gotham Medium" w:cstheme="minorBidi"/>
      <w:color w:val="auto"/>
      <w:lang w:val="en-ZA"/>
    </w:rPr>
  </w:style>
  <w:style w:type="paragraph" w:styleId="NoSpacing">
    <w:name w:val="No Spacing"/>
    <w:uiPriority w:val="1"/>
    <w:qFormat/>
    <w:rsid w:val="00132176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13F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41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D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D4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D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D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F2A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095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96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8736D"/>
    <w:pPr>
      <w:widowControl w:val="0"/>
      <w:autoSpaceDE w:val="0"/>
      <w:autoSpaceDN w:val="0"/>
      <w:spacing w:after="0"/>
    </w:pPr>
    <w:rPr>
      <w:rFonts w:ascii="Avenir Light" w:eastAsia="Avenir Light" w:hAnsi="Avenir Light" w:cs="Avenir Light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F8736D"/>
    <w:rPr>
      <w:rFonts w:ascii="Avenir Light" w:eastAsia="Avenir Light" w:hAnsi="Avenir Light" w:cs="Avenir Light"/>
      <w:sz w:val="14"/>
      <w:szCs w:val="14"/>
    </w:rPr>
  </w:style>
  <w:style w:type="paragraph" w:styleId="Revision">
    <w:name w:val="Revision"/>
    <w:hidden/>
    <w:uiPriority w:val="99"/>
    <w:semiHidden/>
    <w:rsid w:val="00F8736D"/>
    <w:pPr>
      <w:spacing w:after="0" w:line="240" w:lineRule="auto"/>
    </w:pPr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575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753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575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575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5753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57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enspdf.jse.co.za/documents/2022/jse/isse/sfn/sfn2022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7306eb-b2a8-4d3c-9cbc-822ea7583717" xsi:nil="true"/>
    <lcf76f155ced4ddcb4097134ff3c332f xmlns="b0e04321-e269-44b1-b2b1-eda0d33836ed">
      <Terms xmlns="http://schemas.microsoft.com/office/infopath/2007/PartnerControls"/>
    </lcf76f155ced4ddcb4097134ff3c332f>
    <_dlc_DocId xmlns="277306eb-b2a8-4d3c-9cbc-822ea7583717">7EF5Q2DZRF6H-1957824718-2086864</_dlc_DocId>
    <_dlc_DocIdUrl xmlns="277306eb-b2a8-4d3c-9cbc-822ea7583717">
      <Url>https://questcoca.sharepoint.com/sites/CloudDocs/_layouts/15/DocIdRedir.aspx?ID=7EF5Q2DZRF6H-1957824718-2086864</Url>
      <Description>7EF5Q2DZRF6H-1957824718-2086864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F4A00F79395449CF88A725EBAC62E" ma:contentTypeVersion="65" ma:contentTypeDescription="Create a new document." ma:contentTypeScope="" ma:versionID="d823005ec98869ce0d1ef9daac0c83b8">
  <xsd:schema xmlns:xsd="http://www.w3.org/2001/XMLSchema" xmlns:xs="http://www.w3.org/2001/XMLSchema" xmlns:p="http://schemas.microsoft.com/office/2006/metadata/properties" xmlns:ns2="277306eb-b2a8-4d3c-9cbc-822ea7583717" xmlns:ns3="b0e04321-e269-44b1-b2b1-eda0d33836ed" targetNamespace="http://schemas.microsoft.com/office/2006/metadata/properties" ma:root="true" ma:fieldsID="4abca2815a0ff3b1bee75a724f18a485" ns2:_="" ns3:_="">
    <xsd:import namespace="277306eb-b2a8-4d3c-9cbc-822ea7583717"/>
    <xsd:import namespace="b0e04321-e269-44b1-b2b1-eda0d33836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306eb-b2a8-4d3c-9cbc-822ea75837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a4ef4df-e62a-49e4-a129-075048b0fcb2}" ma:internalName="TaxCatchAll" ma:showField="CatchAllData" ma:web="277306eb-b2a8-4d3c-9cbc-822ea7583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04321-e269-44b1-b2b1-eda0d33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1076a23-cd4f-4250-a506-b23a66881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C33A6-AA41-448B-8E30-88F19A93011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F2142E-C194-4C06-8221-94FFF6623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6D1B0-A449-4699-B7D3-C674425BE0AC}">
  <ds:schemaRefs>
    <ds:schemaRef ds:uri="http://schemas.microsoft.com/office/2006/metadata/properties"/>
    <ds:schemaRef ds:uri="http://schemas.microsoft.com/office/infopath/2007/PartnerControls"/>
    <ds:schemaRef ds:uri="277306eb-b2a8-4d3c-9cbc-822ea7583717"/>
    <ds:schemaRef ds:uri="b0e04321-e269-44b1-b2b1-eda0d33836ed"/>
  </ds:schemaRefs>
</ds:datastoreItem>
</file>

<file path=customXml/itemProps4.xml><?xml version="1.0" encoding="utf-8"?>
<ds:datastoreItem xmlns:ds="http://schemas.openxmlformats.org/officeDocument/2006/customXml" ds:itemID="{FD3A3DBE-266D-445F-B1D0-56FD309F3B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8C1C25-6B1B-4595-832D-962C0A63A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306eb-b2a8-4d3c-9cbc-822ea7583717"/>
    <ds:schemaRef ds:uri="b0e04321-e269-44b1-b2b1-eda0d3383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1177</Words>
  <Characters>6712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Bongiwe Ncube</dc:creator>
  <cp:keywords/>
  <dc:description/>
  <cp:lastModifiedBy>Sanele Jwara</cp:lastModifiedBy>
  <cp:revision>2</cp:revision>
  <cp:lastPrinted>2019-09-12T14:52:00Z</cp:lastPrinted>
  <dcterms:created xsi:type="dcterms:W3CDTF">2022-09-21T07:50:00Z</dcterms:created>
  <dcterms:modified xsi:type="dcterms:W3CDTF">2022-09-21T07:50:00Z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0x010100072F4A00F79395449CF88A725EBAC62E</vt:lpwstr>
  </property>
  <property fmtid="{D5CDD505-2E9C-101B-9397-08002B2CF9AE}" pid="3" name="_dlc_DocIdItemGuid">
    <vt:lpwstr>1bedbea7-728b-4ea0-970e-9ed66fe206f3</vt:lpwstr>
  </property>
  <property fmtid="{D5CDD505-2E9C-101B-9397-08002B2CF9AE}" pid="4" name="MediaServiceImageTags">
    <vt:lpwstr/>
  </property>
</Properties>
</file>