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6" w:type="dxa"/>
        <w:tblCellMar>
          <w:left w:w="10" w:type="dxa"/>
          <w:right w:w="10" w:type="dxa"/>
        </w:tblCellMar>
        <w:tblLook w:val="0000" w:firstRow="0" w:lastRow="0" w:firstColumn="0" w:lastColumn="0" w:noHBand="0" w:noVBand="0"/>
      </w:tblPr>
      <w:tblGrid>
        <w:gridCol w:w="4508"/>
        <w:gridCol w:w="4508"/>
      </w:tblGrid>
      <w:tr w:rsidR="00D5279A" w14:paraId="5A908515" w14:textId="77777777" w:rsidTr="000E30DE">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0850E" w14:textId="77777777" w:rsidR="00D5279A" w:rsidRDefault="00C6280D">
            <w:pPr>
              <w:pStyle w:val="BodyText"/>
              <w:spacing w:line="312" w:lineRule="auto"/>
              <w:ind w:right="-22"/>
              <w:rPr>
                <w:rFonts w:ascii="Calibri" w:hAnsi="Calibri" w:cs="Calibri"/>
                <w:color w:val="414042"/>
                <w:sz w:val="22"/>
                <w:szCs w:val="22"/>
                <w:lang w:val="en-ZA"/>
              </w:rPr>
            </w:pPr>
            <w:r>
              <w:rPr>
                <w:rFonts w:ascii="Calibri" w:hAnsi="Calibri" w:cs="Calibri"/>
                <w:color w:val="414042"/>
                <w:sz w:val="22"/>
                <w:szCs w:val="22"/>
                <w:lang w:val="en-ZA"/>
              </w:rPr>
              <w:t>SASFIN HOLDINGS LIMITED</w:t>
            </w:r>
          </w:p>
          <w:p w14:paraId="5A90850F" w14:textId="77777777" w:rsidR="00D5279A" w:rsidRDefault="00C6280D">
            <w:pPr>
              <w:pStyle w:val="BodyText"/>
              <w:spacing w:line="312" w:lineRule="auto"/>
              <w:ind w:right="-22"/>
              <w:rPr>
                <w:rFonts w:ascii="Calibri" w:hAnsi="Calibri" w:cs="Calibri"/>
                <w:color w:val="414042"/>
                <w:sz w:val="22"/>
                <w:szCs w:val="22"/>
                <w:lang w:val="en-ZA"/>
              </w:rPr>
            </w:pPr>
            <w:r>
              <w:rPr>
                <w:rFonts w:ascii="Calibri" w:hAnsi="Calibri" w:cs="Calibri"/>
                <w:color w:val="414042"/>
                <w:sz w:val="22"/>
                <w:szCs w:val="22"/>
                <w:lang w:val="en-ZA"/>
              </w:rPr>
              <w:t>(Incorporated in The Republic of South Africa)</w:t>
            </w:r>
          </w:p>
          <w:p w14:paraId="5A908510" w14:textId="77777777" w:rsidR="00D5279A" w:rsidRDefault="00C6280D">
            <w:pPr>
              <w:pStyle w:val="BodyText"/>
              <w:spacing w:line="312" w:lineRule="auto"/>
              <w:ind w:right="-22"/>
              <w:rPr>
                <w:rFonts w:ascii="Calibri" w:hAnsi="Calibri" w:cs="Calibri"/>
                <w:color w:val="414042"/>
                <w:sz w:val="22"/>
                <w:szCs w:val="22"/>
                <w:lang w:val="en-ZA"/>
              </w:rPr>
            </w:pPr>
            <w:r>
              <w:rPr>
                <w:rFonts w:ascii="Calibri" w:hAnsi="Calibri" w:cs="Calibri"/>
                <w:color w:val="414042"/>
                <w:sz w:val="22"/>
                <w:szCs w:val="22"/>
                <w:lang w:val="en-ZA"/>
              </w:rPr>
              <w:t>(Registration Number 1987/002097/06)</w:t>
            </w:r>
          </w:p>
          <w:p w14:paraId="5A908511" w14:textId="77777777" w:rsidR="00D5279A" w:rsidRDefault="00C6280D">
            <w:pPr>
              <w:pStyle w:val="BodyText"/>
              <w:spacing w:line="312" w:lineRule="auto"/>
              <w:ind w:right="-22"/>
              <w:rPr>
                <w:rFonts w:ascii="Calibri" w:hAnsi="Calibri" w:cs="Calibri"/>
                <w:color w:val="414042"/>
                <w:sz w:val="22"/>
                <w:szCs w:val="22"/>
                <w:lang w:val="en-ZA"/>
              </w:rPr>
            </w:pPr>
            <w:r>
              <w:rPr>
                <w:rFonts w:ascii="Calibri" w:hAnsi="Calibri" w:cs="Calibri"/>
                <w:color w:val="414042"/>
                <w:sz w:val="22"/>
                <w:szCs w:val="22"/>
                <w:lang w:val="en-ZA"/>
              </w:rPr>
              <w:t>Ordinary share code: SFN ISIN: ZAE000006565</w:t>
            </w:r>
          </w:p>
          <w:p w14:paraId="5A908512" w14:textId="77777777" w:rsidR="00D5279A" w:rsidRDefault="00C6280D">
            <w:pPr>
              <w:pStyle w:val="BodyText"/>
              <w:spacing w:line="312" w:lineRule="auto"/>
              <w:ind w:right="-22"/>
              <w:rPr>
                <w:rFonts w:ascii="Calibri" w:hAnsi="Calibri" w:cs="Calibri"/>
                <w:color w:val="414042"/>
                <w:sz w:val="22"/>
                <w:szCs w:val="22"/>
                <w:lang w:val="en-ZA"/>
              </w:rPr>
            </w:pPr>
            <w:r>
              <w:rPr>
                <w:rFonts w:ascii="Calibri" w:hAnsi="Calibri" w:cs="Calibri"/>
                <w:color w:val="414042"/>
                <w:sz w:val="22"/>
                <w:szCs w:val="22"/>
                <w:lang w:val="en-ZA"/>
              </w:rPr>
              <w:t>(“Sasfin” or “the Company” or "the Group")</w:t>
            </w:r>
          </w:p>
          <w:p w14:paraId="5A908513" w14:textId="77777777" w:rsidR="00D5279A" w:rsidRDefault="00D5279A">
            <w:pPr>
              <w:pStyle w:val="BodyText"/>
              <w:spacing w:line="312" w:lineRule="auto"/>
              <w:ind w:right="-22"/>
              <w:rPr>
                <w:rFonts w:ascii="Calibri" w:hAnsi="Calibri" w:cs="Calibri"/>
                <w:color w:val="414042"/>
                <w:sz w:val="22"/>
                <w:szCs w:val="22"/>
                <w:lang w:val="en-ZA"/>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08514" w14:textId="77777777" w:rsidR="00D5279A" w:rsidRDefault="00C6280D">
            <w:pPr>
              <w:pStyle w:val="BodyText"/>
              <w:spacing w:line="312" w:lineRule="auto"/>
              <w:ind w:right="-22"/>
            </w:pPr>
            <w:r>
              <w:rPr>
                <w:rFonts w:ascii="Calibri" w:hAnsi="Calibri" w:cs="Calibri"/>
                <w:noProof/>
                <w:sz w:val="22"/>
                <w:szCs w:val="22"/>
                <w:lang w:val="en-ZA"/>
              </w:rPr>
              <w:drawing>
                <wp:inline distT="0" distB="0" distL="0" distR="0" wp14:anchorId="5A90850E" wp14:editId="5A90850F">
                  <wp:extent cx="2608280" cy="1192103"/>
                  <wp:effectExtent l="0" t="0" r="1570" b="8047"/>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608280" cy="1192103"/>
                          </a:xfrm>
                          <a:prstGeom prst="rect">
                            <a:avLst/>
                          </a:prstGeom>
                          <a:noFill/>
                          <a:ln>
                            <a:noFill/>
                            <a:prstDash/>
                          </a:ln>
                        </pic:spPr>
                      </pic:pic>
                    </a:graphicData>
                  </a:graphic>
                </wp:inline>
              </w:drawing>
            </w:r>
          </w:p>
        </w:tc>
      </w:tr>
    </w:tbl>
    <w:p w14:paraId="5A908516" w14:textId="77777777" w:rsidR="00D5279A" w:rsidRDefault="00D5279A">
      <w:pPr>
        <w:pStyle w:val="BodyText"/>
        <w:spacing w:line="312" w:lineRule="auto"/>
        <w:ind w:right="-22"/>
        <w:rPr>
          <w:rFonts w:ascii="Calibri" w:hAnsi="Calibri" w:cs="Calibri"/>
          <w:b/>
          <w:bCs/>
          <w:color w:val="414042"/>
          <w:sz w:val="22"/>
          <w:szCs w:val="22"/>
        </w:rPr>
      </w:pPr>
    </w:p>
    <w:p w14:paraId="5A908517" w14:textId="77777777" w:rsidR="00D5279A" w:rsidRDefault="00C628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12" w:lineRule="auto"/>
        <w:ind w:right="-22"/>
      </w:pPr>
      <w:r>
        <w:rPr>
          <w:rFonts w:ascii="Calibri" w:hAnsi="Calibri" w:cs="Calibri"/>
          <w:b/>
          <w:bCs/>
          <w:color w:val="414042"/>
        </w:rPr>
        <w:t>Unaudited condensed consolidated interim results for the six months ended 31 December 2022 short form announcement.</w:t>
      </w:r>
    </w:p>
    <w:p w14:paraId="5A908518" w14:textId="77777777" w:rsidR="00D5279A" w:rsidRDefault="00D527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12" w:lineRule="auto"/>
        <w:ind w:right="-22"/>
        <w:rPr>
          <w:rFonts w:ascii="Calibri" w:hAnsi="Calibri" w:cs="Calibri"/>
          <w:b/>
          <w:bCs/>
          <w:color w:val="414042"/>
        </w:rPr>
      </w:pPr>
    </w:p>
    <w:p w14:paraId="5A908519" w14:textId="77777777" w:rsidR="00D5279A" w:rsidRDefault="00C6280D">
      <w:pPr>
        <w:spacing w:line="312" w:lineRule="auto"/>
        <w:ind w:right="-22"/>
        <w:rPr>
          <w:rFonts w:ascii="Calibri" w:hAnsi="Calibri" w:cs="Calibri"/>
          <w:b/>
          <w:bCs/>
          <w:color w:val="414042"/>
        </w:rPr>
      </w:pPr>
      <w:r>
        <w:rPr>
          <w:rFonts w:ascii="Calibri" w:hAnsi="Calibri" w:cs="Calibri"/>
          <w:b/>
          <w:bCs/>
          <w:color w:val="414042"/>
        </w:rPr>
        <w:t>RESULTS</w:t>
      </w:r>
    </w:p>
    <w:tbl>
      <w:tblPr>
        <w:tblW w:w="9234" w:type="dxa"/>
        <w:tblCellMar>
          <w:left w:w="10" w:type="dxa"/>
          <w:right w:w="10" w:type="dxa"/>
        </w:tblCellMar>
        <w:tblLook w:val="0000" w:firstRow="0" w:lastRow="0" w:firstColumn="0" w:lastColumn="0" w:noHBand="0" w:noVBand="0"/>
      </w:tblPr>
      <w:tblGrid>
        <w:gridCol w:w="4860"/>
        <w:gridCol w:w="1519"/>
        <w:gridCol w:w="1701"/>
        <w:gridCol w:w="1154"/>
      </w:tblGrid>
      <w:tr w:rsidR="00C6280D" w14:paraId="5A90851E" w14:textId="77777777">
        <w:trPr>
          <w:trHeight w:val="600"/>
        </w:trPr>
        <w:tc>
          <w:tcPr>
            <w:tcW w:w="4860" w:type="dxa"/>
            <w:tcBorders>
              <w:right w:val="single" w:sz="4" w:space="0" w:color="000000"/>
            </w:tcBorders>
            <w:shd w:val="clear" w:color="auto" w:fill="auto"/>
            <w:noWrap/>
            <w:tcMar>
              <w:top w:w="0" w:type="dxa"/>
              <w:left w:w="108" w:type="dxa"/>
              <w:bottom w:w="0" w:type="dxa"/>
              <w:right w:w="108" w:type="dxa"/>
            </w:tcMar>
            <w:vAlign w:val="bottom"/>
          </w:tcPr>
          <w:p w14:paraId="5A90851A" w14:textId="77777777" w:rsidR="00D5279A" w:rsidRDefault="00D5279A">
            <w:pPr>
              <w:rPr>
                <w:rFonts w:ascii="Calibri" w:hAnsi="Calibri" w:cs="Calibri"/>
                <w:color w:val="414042"/>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0851B" w14:textId="77777777" w:rsidR="00D5279A" w:rsidRDefault="00C6280D">
            <w:pPr>
              <w:widowControl/>
              <w:autoSpaceDE/>
              <w:spacing w:line="312" w:lineRule="auto"/>
              <w:ind w:right="-22"/>
              <w:jc w:val="right"/>
              <w:rPr>
                <w:rFonts w:ascii="Calibri" w:hAnsi="Calibri" w:cs="Calibri"/>
                <w:b/>
                <w:bCs/>
                <w:lang w:val="en-ZA"/>
              </w:rPr>
            </w:pPr>
            <w:r>
              <w:rPr>
                <w:rFonts w:ascii="Calibri" w:hAnsi="Calibri" w:cs="Calibri"/>
                <w:b/>
                <w:bCs/>
                <w:lang w:val="en-ZA"/>
              </w:rPr>
              <w:t>31 December 2022</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0851C" w14:textId="77777777" w:rsidR="00D5279A" w:rsidRDefault="00C6280D">
            <w:pPr>
              <w:widowControl/>
              <w:autoSpaceDE/>
              <w:spacing w:line="312" w:lineRule="auto"/>
              <w:ind w:right="-22"/>
              <w:jc w:val="right"/>
            </w:pPr>
            <w:r>
              <w:rPr>
                <w:rFonts w:ascii="Calibri" w:hAnsi="Calibri" w:cs="Calibri"/>
                <w:lang w:val="en-ZA"/>
              </w:rPr>
              <w:t>31 December 2021</w:t>
            </w:r>
            <w:r>
              <w:rPr>
                <w:rFonts w:ascii="Calibri" w:hAnsi="Calibri" w:cs="Calibri"/>
                <w:vertAlign w:val="superscript"/>
                <w:lang w:val="en-ZA"/>
              </w:rPr>
              <w:t>1</w:t>
            </w:r>
          </w:p>
        </w:tc>
        <w:tc>
          <w:tcPr>
            <w:tcW w:w="11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0851D" w14:textId="77777777" w:rsidR="00D5279A" w:rsidRDefault="00C6280D">
            <w:pPr>
              <w:widowControl/>
              <w:autoSpaceDE/>
              <w:spacing w:line="312" w:lineRule="auto"/>
              <w:ind w:right="-22"/>
              <w:jc w:val="right"/>
            </w:pPr>
            <w:r>
              <w:rPr>
                <w:rFonts w:ascii="Calibri" w:hAnsi="Calibri" w:cs="Calibri"/>
                <w:lang w:val="en-ZA"/>
              </w:rPr>
              <w:t>% Change</w:t>
            </w:r>
          </w:p>
        </w:tc>
      </w:tr>
      <w:tr w:rsidR="00C6280D" w14:paraId="5A908523" w14:textId="77777777">
        <w:trPr>
          <w:trHeight w:val="300"/>
        </w:trPr>
        <w:tc>
          <w:tcPr>
            <w:tcW w:w="48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1F" w14:textId="77777777" w:rsidR="00D5279A" w:rsidRDefault="00C6280D">
            <w:pPr>
              <w:widowControl/>
              <w:autoSpaceDE/>
              <w:spacing w:line="312" w:lineRule="auto"/>
              <w:ind w:right="-22"/>
              <w:rPr>
                <w:rFonts w:ascii="Calibri" w:hAnsi="Calibri" w:cs="Calibri"/>
                <w:lang w:val="en-ZA"/>
              </w:rPr>
            </w:pPr>
            <w:r>
              <w:rPr>
                <w:rFonts w:ascii="Calibri" w:hAnsi="Calibri" w:cs="Calibri"/>
                <w:lang w:val="en-ZA"/>
              </w:rPr>
              <w:t>Group headline earnings for the period (R'000)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08520" w14:textId="77777777" w:rsidR="00D5279A" w:rsidRDefault="00C6280D">
            <w:pPr>
              <w:widowControl/>
              <w:autoSpaceDE/>
              <w:spacing w:line="312" w:lineRule="auto"/>
              <w:ind w:right="-22"/>
              <w:jc w:val="right"/>
              <w:rPr>
                <w:b/>
                <w:bCs/>
              </w:rPr>
            </w:pPr>
            <w:r>
              <w:rPr>
                <w:b/>
                <w:bCs/>
              </w:rPr>
              <w:t xml:space="preserve"> R67,706 </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908521" w14:textId="77777777" w:rsidR="00D5279A" w:rsidRDefault="00C6280D">
            <w:pPr>
              <w:widowControl/>
              <w:autoSpaceDE/>
              <w:spacing w:line="312" w:lineRule="auto"/>
              <w:ind w:right="-22"/>
              <w:jc w:val="right"/>
            </w:pPr>
            <w:r>
              <w:t>R 85,424</w:t>
            </w:r>
          </w:p>
        </w:tc>
        <w:tc>
          <w:tcPr>
            <w:tcW w:w="1154"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A908522" w14:textId="77777777" w:rsidR="00D5279A" w:rsidRDefault="00C6280D">
            <w:pPr>
              <w:widowControl/>
              <w:autoSpaceDE/>
              <w:spacing w:line="312" w:lineRule="auto"/>
              <w:ind w:right="-22"/>
              <w:jc w:val="right"/>
              <w:rPr>
                <w:rFonts w:ascii="Calibri" w:hAnsi="Calibri" w:cs="Calibri"/>
              </w:rPr>
            </w:pPr>
            <w:r>
              <w:rPr>
                <w:rFonts w:ascii="Calibri" w:hAnsi="Calibri" w:cs="Calibri"/>
              </w:rPr>
              <w:t>-20.74%</w:t>
            </w:r>
          </w:p>
        </w:tc>
      </w:tr>
      <w:tr w:rsidR="00C6280D" w14:paraId="5A908528" w14:textId="77777777">
        <w:trPr>
          <w:trHeight w:val="300"/>
        </w:trPr>
        <w:tc>
          <w:tcPr>
            <w:tcW w:w="48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24" w14:textId="77777777" w:rsidR="00D5279A" w:rsidRDefault="00C6280D">
            <w:pPr>
              <w:widowControl/>
              <w:autoSpaceDE/>
              <w:spacing w:line="312" w:lineRule="auto"/>
              <w:ind w:right="-22"/>
              <w:rPr>
                <w:rFonts w:ascii="Calibri" w:hAnsi="Calibri" w:cs="Calibri"/>
                <w:lang w:val="en-ZA"/>
              </w:rPr>
            </w:pPr>
            <w:r>
              <w:rPr>
                <w:rFonts w:ascii="Calibri" w:hAnsi="Calibri" w:cs="Calibri"/>
                <w:lang w:val="en-ZA"/>
              </w:rPr>
              <w:t>Group headline earnings per ordinary share (cents)</w:t>
            </w:r>
          </w:p>
        </w:tc>
        <w:tc>
          <w:tcPr>
            <w:tcW w:w="1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08525" w14:textId="77777777" w:rsidR="00D5279A" w:rsidRDefault="00C6280D">
            <w:pPr>
              <w:widowControl/>
              <w:autoSpaceDE/>
              <w:spacing w:line="312" w:lineRule="auto"/>
              <w:ind w:right="-22"/>
              <w:jc w:val="right"/>
              <w:rPr>
                <w:b/>
                <w:bCs/>
              </w:rPr>
            </w:pPr>
            <w:r>
              <w:rPr>
                <w:b/>
                <w:bCs/>
              </w:rPr>
              <w:t>220.02</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908526" w14:textId="77777777" w:rsidR="00D5279A" w:rsidRDefault="00C6280D">
            <w:pPr>
              <w:widowControl/>
              <w:autoSpaceDE/>
              <w:spacing w:line="312" w:lineRule="auto"/>
              <w:ind w:right="-22"/>
              <w:jc w:val="right"/>
            </w:pPr>
            <w:r>
              <w:rPr>
                <w:lang w:val="en-ZA"/>
              </w:rPr>
              <w:t>277.59</w:t>
            </w:r>
          </w:p>
        </w:tc>
        <w:tc>
          <w:tcPr>
            <w:tcW w:w="1154"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A908527" w14:textId="77777777" w:rsidR="00D5279A" w:rsidRDefault="00C6280D">
            <w:pPr>
              <w:widowControl/>
              <w:autoSpaceDE/>
              <w:spacing w:line="312" w:lineRule="auto"/>
              <w:ind w:right="-22"/>
              <w:jc w:val="right"/>
            </w:pPr>
            <w:r>
              <w:rPr>
                <w:rFonts w:ascii="Calibri" w:hAnsi="Calibri" w:cs="Calibri"/>
                <w:lang w:val="en-ZA"/>
              </w:rPr>
              <w:t>-20.74%</w:t>
            </w:r>
          </w:p>
        </w:tc>
      </w:tr>
      <w:tr w:rsidR="00C6280D" w14:paraId="5A90852D" w14:textId="77777777">
        <w:trPr>
          <w:trHeight w:val="300"/>
        </w:trPr>
        <w:tc>
          <w:tcPr>
            <w:tcW w:w="48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29" w14:textId="77777777" w:rsidR="00D5279A" w:rsidRDefault="00C6280D">
            <w:pPr>
              <w:widowControl/>
              <w:autoSpaceDE/>
              <w:spacing w:line="312" w:lineRule="auto"/>
              <w:ind w:right="-22"/>
              <w:rPr>
                <w:rFonts w:ascii="Calibri" w:hAnsi="Calibri" w:cs="Calibri"/>
                <w:lang w:val="en-ZA"/>
              </w:rPr>
            </w:pPr>
            <w:r>
              <w:rPr>
                <w:rFonts w:ascii="Calibri" w:hAnsi="Calibri" w:cs="Calibri"/>
                <w:lang w:val="en-ZA"/>
              </w:rPr>
              <w:t>Earnings per ordinary share (cents)</w:t>
            </w:r>
          </w:p>
        </w:tc>
        <w:tc>
          <w:tcPr>
            <w:tcW w:w="1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0852A" w14:textId="77777777" w:rsidR="00D5279A" w:rsidRDefault="00C6280D">
            <w:pPr>
              <w:widowControl/>
              <w:autoSpaceDE/>
              <w:spacing w:line="312" w:lineRule="auto"/>
              <w:ind w:right="-22"/>
              <w:jc w:val="right"/>
              <w:rPr>
                <w:b/>
                <w:bCs/>
              </w:rPr>
            </w:pPr>
            <w:r>
              <w:rPr>
                <w:b/>
                <w:bCs/>
              </w:rPr>
              <w:t>220.57</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90852B" w14:textId="77777777" w:rsidR="00D5279A" w:rsidRDefault="00C6280D">
            <w:pPr>
              <w:widowControl/>
              <w:autoSpaceDE/>
              <w:spacing w:line="312" w:lineRule="auto"/>
              <w:ind w:right="-22"/>
              <w:jc w:val="right"/>
            </w:pPr>
            <w:r>
              <w:rPr>
                <w:rFonts w:ascii="Calibri" w:hAnsi="Calibri" w:cs="Calibri"/>
                <w:lang w:val="en-ZA"/>
              </w:rPr>
              <w:t>274.66</w:t>
            </w:r>
          </w:p>
        </w:tc>
        <w:tc>
          <w:tcPr>
            <w:tcW w:w="1154"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A90852C" w14:textId="77777777" w:rsidR="00D5279A" w:rsidRDefault="00C6280D">
            <w:pPr>
              <w:widowControl/>
              <w:autoSpaceDE/>
              <w:spacing w:line="312" w:lineRule="auto"/>
              <w:ind w:right="-22"/>
              <w:jc w:val="right"/>
              <w:rPr>
                <w:rFonts w:ascii="Calibri" w:hAnsi="Calibri" w:cs="Calibri"/>
              </w:rPr>
            </w:pPr>
            <w:r>
              <w:rPr>
                <w:rFonts w:ascii="Calibri" w:hAnsi="Calibri" w:cs="Calibri"/>
              </w:rPr>
              <w:t>-19.69%</w:t>
            </w:r>
          </w:p>
        </w:tc>
      </w:tr>
      <w:tr w:rsidR="00C6280D" w14:paraId="5A908532" w14:textId="77777777">
        <w:trPr>
          <w:trHeight w:val="300"/>
        </w:trPr>
        <w:tc>
          <w:tcPr>
            <w:tcW w:w="48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2E" w14:textId="77777777" w:rsidR="00D5279A" w:rsidRDefault="00C6280D">
            <w:pPr>
              <w:widowControl/>
              <w:autoSpaceDE/>
              <w:spacing w:line="312" w:lineRule="auto"/>
              <w:ind w:right="-22"/>
              <w:rPr>
                <w:rFonts w:ascii="Calibri" w:hAnsi="Calibri" w:cs="Calibri"/>
                <w:lang w:val="en-ZA"/>
              </w:rPr>
            </w:pPr>
            <w:r>
              <w:rPr>
                <w:rFonts w:ascii="Calibri" w:hAnsi="Calibri" w:cs="Calibri"/>
                <w:lang w:val="en-ZA"/>
              </w:rPr>
              <w:t>Total Income (R'000)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0852F" w14:textId="77777777" w:rsidR="00D5279A" w:rsidRDefault="00C6280D">
            <w:pPr>
              <w:widowControl/>
              <w:autoSpaceDE/>
              <w:spacing w:line="312" w:lineRule="auto"/>
              <w:ind w:right="-22"/>
              <w:jc w:val="right"/>
            </w:pPr>
            <w:r>
              <w:rPr>
                <w:b/>
                <w:bCs/>
              </w:rPr>
              <w:t xml:space="preserve"> R705,203 </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908530" w14:textId="77777777" w:rsidR="00D5279A" w:rsidRDefault="00C6280D">
            <w:pPr>
              <w:widowControl/>
              <w:autoSpaceDE/>
              <w:spacing w:line="312" w:lineRule="auto"/>
              <w:ind w:right="-22"/>
              <w:jc w:val="right"/>
            </w:pPr>
            <w:r>
              <w:t>R626,179</w:t>
            </w:r>
          </w:p>
        </w:tc>
        <w:tc>
          <w:tcPr>
            <w:tcW w:w="1154"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A908531" w14:textId="77777777" w:rsidR="00D5279A" w:rsidRDefault="00C6280D">
            <w:pPr>
              <w:widowControl/>
              <w:autoSpaceDE/>
              <w:spacing w:line="312" w:lineRule="auto"/>
              <w:ind w:right="-22"/>
              <w:jc w:val="right"/>
            </w:pPr>
            <w:r>
              <w:rPr>
                <w:rFonts w:ascii="Calibri" w:hAnsi="Calibri" w:cs="Calibri"/>
              </w:rPr>
              <w:t>12.62%</w:t>
            </w:r>
          </w:p>
        </w:tc>
      </w:tr>
      <w:tr w:rsidR="00C6280D" w14:paraId="5A908537" w14:textId="77777777">
        <w:trPr>
          <w:trHeight w:val="300"/>
        </w:trPr>
        <w:tc>
          <w:tcPr>
            <w:tcW w:w="48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33" w14:textId="77777777" w:rsidR="00D5279A" w:rsidRDefault="00C6280D">
            <w:pPr>
              <w:widowControl/>
              <w:autoSpaceDE/>
              <w:spacing w:line="312" w:lineRule="auto"/>
              <w:ind w:right="-22"/>
              <w:rPr>
                <w:rFonts w:ascii="Calibri" w:hAnsi="Calibri" w:cs="Calibri"/>
                <w:lang w:val="en-ZA"/>
              </w:rPr>
            </w:pPr>
            <w:r>
              <w:rPr>
                <w:rFonts w:ascii="Calibri" w:hAnsi="Calibri" w:cs="Calibri"/>
                <w:lang w:val="en-ZA"/>
              </w:rPr>
              <w:t>Profit before income tax (R'000)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08534" w14:textId="77777777" w:rsidR="00D5279A" w:rsidRDefault="00C6280D">
            <w:pPr>
              <w:widowControl/>
              <w:autoSpaceDE/>
              <w:spacing w:line="312" w:lineRule="auto"/>
              <w:ind w:right="-22"/>
              <w:jc w:val="right"/>
            </w:pPr>
            <w:r>
              <w:rPr>
                <w:b/>
                <w:bCs/>
              </w:rPr>
              <w:t xml:space="preserve"> R85,553 </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908535" w14:textId="77777777" w:rsidR="00D5279A" w:rsidRDefault="00C6280D">
            <w:pPr>
              <w:widowControl/>
              <w:autoSpaceDE/>
              <w:spacing w:line="312" w:lineRule="auto"/>
              <w:ind w:right="-22"/>
              <w:jc w:val="right"/>
              <w:rPr>
                <w:rFonts w:ascii="Calibri" w:hAnsi="Calibri" w:cs="Calibri"/>
                <w:lang w:val="en-ZA"/>
              </w:rPr>
            </w:pPr>
            <w:r>
              <w:rPr>
                <w:rFonts w:ascii="Calibri" w:hAnsi="Calibri" w:cs="Calibri"/>
                <w:lang w:val="en-ZA"/>
              </w:rPr>
              <w:t>R114,970</w:t>
            </w:r>
          </w:p>
        </w:tc>
        <w:tc>
          <w:tcPr>
            <w:tcW w:w="1154"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A908536" w14:textId="77777777" w:rsidR="00D5279A" w:rsidRDefault="00C6280D">
            <w:pPr>
              <w:widowControl/>
              <w:autoSpaceDE/>
              <w:spacing w:line="312" w:lineRule="auto"/>
              <w:ind w:right="-22"/>
              <w:jc w:val="right"/>
            </w:pPr>
            <w:r>
              <w:rPr>
                <w:rFonts w:ascii="Calibri" w:hAnsi="Calibri" w:cs="Calibri"/>
              </w:rPr>
              <w:t>-25.59%</w:t>
            </w:r>
          </w:p>
        </w:tc>
      </w:tr>
      <w:tr w:rsidR="00C6280D" w14:paraId="5A90853C" w14:textId="77777777">
        <w:trPr>
          <w:trHeight w:val="300"/>
        </w:trPr>
        <w:tc>
          <w:tcPr>
            <w:tcW w:w="48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38" w14:textId="77777777" w:rsidR="00D5279A" w:rsidRDefault="00C6280D">
            <w:pPr>
              <w:widowControl/>
              <w:autoSpaceDE/>
              <w:spacing w:line="312" w:lineRule="auto"/>
              <w:ind w:right="-22"/>
            </w:pPr>
            <w:r>
              <w:rPr>
                <w:rFonts w:ascii="Calibri" w:hAnsi="Calibri" w:cs="Calibri"/>
                <w:color w:val="000000"/>
              </w:rPr>
              <w:t>Group profit (Rm)</w:t>
            </w:r>
          </w:p>
        </w:tc>
        <w:tc>
          <w:tcPr>
            <w:tcW w:w="1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08539" w14:textId="77777777" w:rsidR="00D5279A" w:rsidRDefault="00C6280D">
            <w:pPr>
              <w:widowControl/>
              <w:autoSpaceDE/>
              <w:spacing w:line="312" w:lineRule="auto"/>
              <w:ind w:right="-22"/>
              <w:jc w:val="right"/>
              <w:rPr>
                <w:rFonts w:ascii="Calibri" w:hAnsi="Calibri" w:cs="Calibri"/>
                <w:b/>
                <w:bCs/>
                <w:lang w:val="en-ZA"/>
              </w:rPr>
            </w:pPr>
            <w:r>
              <w:rPr>
                <w:rFonts w:ascii="Calibri" w:hAnsi="Calibri" w:cs="Calibri"/>
                <w:b/>
                <w:bCs/>
                <w:lang w:val="en-ZA"/>
              </w:rPr>
              <w:t>R67,876</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90853A" w14:textId="77777777" w:rsidR="00D5279A" w:rsidRDefault="00C6280D">
            <w:pPr>
              <w:widowControl/>
              <w:autoSpaceDE/>
              <w:spacing w:line="312" w:lineRule="auto"/>
              <w:ind w:right="-22"/>
              <w:jc w:val="right"/>
              <w:rPr>
                <w:rFonts w:ascii="Calibri" w:hAnsi="Calibri" w:cs="Calibri"/>
                <w:lang w:val="en-ZA"/>
              </w:rPr>
            </w:pPr>
            <w:r>
              <w:rPr>
                <w:rFonts w:ascii="Calibri" w:hAnsi="Calibri" w:cs="Calibri"/>
                <w:lang w:val="en-ZA"/>
              </w:rPr>
              <w:t>R84,522</w:t>
            </w:r>
          </w:p>
        </w:tc>
        <w:tc>
          <w:tcPr>
            <w:tcW w:w="1154"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A90853B" w14:textId="77777777" w:rsidR="00D5279A" w:rsidRDefault="00C6280D">
            <w:pPr>
              <w:widowControl/>
              <w:autoSpaceDE/>
              <w:spacing w:line="312" w:lineRule="auto"/>
              <w:ind w:right="-22"/>
              <w:jc w:val="right"/>
            </w:pPr>
            <w:r>
              <w:t>-19.69%</w:t>
            </w:r>
          </w:p>
        </w:tc>
      </w:tr>
      <w:tr w:rsidR="00C6280D" w14:paraId="5A908541" w14:textId="77777777">
        <w:trPr>
          <w:trHeight w:val="300"/>
        </w:trPr>
        <w:tc>
          <w:tcPr>
            <w:tcW w:w="48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3D" w14:textId="77777777" w:rsidR="00D5279A" w:rsidRDefault="00C6280D">
            <w:pPr>
              <w:widowControl/>
              <w:autoSpaceDE/>
              <w:spacing w:line="312" w:lineRule="auto"/>
              <w:ind w:right="-22"/>
              <w:rPr>
                <w:rFonts w:ascii="Calibri" w:hAnsi="Calibri" w:cs="Calibri"/>
                <w:lang w:val="en-ZA"/>
              </w:rPr>
            </w:pPr>
            <w:r>
              <w:rPr>
                <w:rFonts w:ascii="Calibri" w:hAnsi="Calibri" w:cs="Calibri"/>
                <w:lang w:val="en-ZA"/>
              </w:rPr>
              <w:t>Cost to income ratio (%)</w:t>
            </w:r>
          </w:p>
        </w:tc>
        <w:tc>
          <w:tcPr>
            <w:tcW w:w="1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0853E" w14:textId="77777777" w:rsidR="00D5279A" w:rsidRDefault="00C6280D">
            <w:pPr>
              <w:widowControl/>
              <w:autoSpaceDE/>
              <w:spacing w:line="312" w:lineRule="auto"/>
              <w:ind w:right="-22"/>
              <w:jc w:val="right"/>
              <w:rPr>
                <w:rFonts w:ascii="Calibri" w:hAnsi="Calibri" w:cs="Calibri"/>
                <w:b/>
                <w:bCs/>
                <w:lang w:val="en-ZA"/>
              </w:rPr>
            </w:pPr>
            <w:r>
              <w:rPr>
                <w:rFonts w:ascii="Calibri" w:hAnsi="Calibri" w:cs="Calibri"/>
                <w:b/>
                <w:bCs/>
                <w:lang w:val="en-ZA"/>
              </w:rPr>
              <w:t>76.30</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90853F" w14:textId="77777777" w:rsidR="00D5279A" w:rsidRDefault="00C6280D">
            <w:pPr>
              <w:widowControl/>
              <w:autoSpaceDE/>
              <w:spacing w:line="312" w:lineRule="auto"/>
              <w:ind w:right="-22"/>
              <w:jc w:val="right"/>
              <w:rPr>
                <w:rFonts w:ascii="Calibri" w:hAnsi="Calibri" w:cs="Calibri"/>
                <w:lang w:val="en-ZA"/>
              </w:rPr>
            </w:pPr>
            <w:r>
              <w:rPr>
                <w:rFonts w:ascii="Calibri" w:hAnsi="Calibri" w:cs="Calibri"/>
                <w:lang w:val="en-ZA"/>
              </w:rPr>
              <w:t>80.40</w:t>
            </w:r>
          </w:p>
        </w:tc>
        <w:tc>
          <w:tcPr>
            <w:tcW w:w="1154"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A908540" w14:textId="77777777" w:rsidR="00D5279A" w:rsidRDefault="00C6280D">
            <w:pPr>
              <w:widowControl/>
              <w:autoSpaceDE/>
              <w:spacing w:line="312" w:lineRule="auto"/>
              <w:ind w:right="-22"/>
              <w:jc w:val="right"/>
              <w:rPr>
                <w:lang w:val="en-ZA"/>
              </w:rPr>
            </w:pPr>
            <w:r>
              <w:rPr>
                <w:lang w:val="en-ZA"/>
              </w:rPr>
              <w:t>-410 bps</w:t>
            </w:r>
          </w:p>
        </w:tc>
      </w:tr>
      <w:tr w:rsidR="00C6280D" w14:paraId="5A908546" w14:textId="77777777">
        <w:trPr>
          <w:trHeight w:val="300"/>
        </w:trPr>
        <w:tc>
          <w:tcPr>
            <w:tcW w:w="48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42" w14:textId="77777777" w:rsidR="00D5279A" w:rsidRDefault="00C6280D">
            <w:pPr>
              <w:widowControl/>
              <w:autoSpaceDE/>
              <w:spacing w:line="312" w:lineRule="auto"/>
              <w:ind w:right="-22"/>
              <w:rPr>
                <w:rFonts w:ascii="Calibri" w:hAnsi="Calibri" w:cs="Calibri"/>
                <w:lang w:val="en-ZA"/>
              </w:rPr>
            </w:pPr>
            <w:r>
              <w:rPr>
                <w:rFonts w:ascii="Calibri" w:hAnsi="Calibri" w:cs="Calibri"/>
                <w:lang w:val="en-ZA"/>
              </w:rPr>
              <w:t>Return on equity (%)</w:t>
            </w:r>
          </w:p>
        </w:tc>
        <w:tc>
          <w:tcPr>
            <w:tcW w:w="1519"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08543" w14:textId="77777777" w:rsidR="00D5279A" w:rsidRDefault="00C6280D">
            <w:pPr>
              <w:widowControl/>
              <w:autoSpaceDE/>
              <w:spacing w:line="312" w:lineRule="auto"/>
              <w:ind w:right="-22"/>
              <w:jc w:val="right"/>
              <w:rPr>
                <w:rFonts w:ascii="Calibri" w:hAnsi="Calibri" w:cs="Calibri"/>
                <w:b/>
                <w:bCs/>
                <w:lang w:val="en-ZA"/>
              </w:rPr>
            </w:pPr>
            <w:r>
              <w:rPr>
                <w:rFonts w:ascii="Calibri" w:hAnsi="Calibri" w:cs="Calibri"/>
                <w:b/>
                <w:bCs/>
                <w:lang w:val="en-ZA"/>
              </w:rPr>
              <w:t>7.97</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08544" w14:textId="518E9AC9" w:rsidR="00D5279A" w:rsidRDefault="00C6280D">
            <w:pPr>
              <w:widowControl/>
              <w:autoSpaceDE/>
              <w:spacing w:line="312" w:lineRule="auto"/>
              <w:ind w:right="-22"/>
              <w:jc w:val="right"/>
              <w:rPr>
                <w:rFonts w:ascii="Calibri" w:hAnsi="Calibri" w:cs="Calibri"/>
                <w:lang w:val="en-ZA"/>
              </w:rPr>
            </w:pPr>
            <w:r>
              <w:rPr>
                <w:rFonts w:ascii="Calibri" w:hAnsi="Calibri" w:cs="Calibri"/>
                <w:lang w:val="en-ZA"/>
              </w:rPr>
              <w:t>10.</w:t>
            </w:r>
            <w:r w:rsidR="007C7FA7">
              <w:rPr>
                <w:rFonts w:ascii="Calibri" w:hAnsi="Calibri" w:cs="Calibri"/>
                <w:lang w:val="en-ZA"/>
              </w:rPr>
              <w:t>70</w:t>
            </w:r>
          </w:p>
        </w:tc>
        <w:tc>
          <w:tcPr>
            <w:tcW w:w="11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908545" w14:textId="319FF44B" w:rsidR="00D5279A" w:rsidRDefault="00C6280D">
            <w:pPr>
              <w:widowControl/>
              <w:autoSpaceDE/>
              <w:spacing w:line="312" w:lineRule="auto"/>
              <w:ind w:right="-22"/>
              <w:jc w:val="right"/>
              <w:rPr>
                <w:rFonts w:ascii="Calibri" w:hAnsi="Calibri" w:cs="Calibri"/>
                <w:lang w:val="en-ZA"/>
              </w:rPr>
            </w:pPr>
            <w:r>
              <w:rPr>
                <w:rFonts w:ascii="Calibri" w:hAnsi="Calibri" w:cs="Calibri"/>
                <w:lang w:val="en-ZA"/>
              </w:rPr>
              <w:t>-2</w:t>
            </w:r>
            <w:r w:rsidR="007C7FA7">
              <w:rPr>
                <w:rFonts w:ascii="Calibri" w:hAnsi="Calibri" w:cs="Calibri"/>
                <w:lang w:val="en-ZA"/>
              </w:rPr>
              <w:t>73</w:t>
            </w:r>
            <w:r>
              <w:rPr>
                <w:rFonts w:ascii="Calibri" w:hAnsi="Calibri" w:cs="Calibri"/>
                <w:lang w:val="en-ZA"/>
              </w:rPr>
              <w:t xml:space="preserve"> bps</w:t>
            </w:r>
          </w:p>
        </w:tc>
      </w:tr>
      <w:tr w:rsidR="00C6280D" w14:paraId="5A90854B" w14:textId="77777777">
        <w:trPr>
          <w:trHeight w:val="300"/>
        </w:trPr>
        <w:tc>
          <w:tcPr>
            <w:tcW w:w="48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47" w14:textId="77777777" w:rsidR="00D5279A" w:rsidRDefault="00C6280D">
            <w:pPr>
              <w:widowControl/>
              <w:autoSpaceDE/>
              <w:spacing w:line="312" w:lineRule="auto"/>
              <w:ind w:right="-22"/>
              <w:rPr>
                <w:rFonts w:ascii="Calibri" w:hAnsi="Calibri" w:cs="Calibri"/>
                <w:lang w:val="en-ZA"/>
              </w:rPr>
            </w:pPr>
            <w:r>
              <w:rPr>
                <w:rFonts w:ascii="Calibri" w:hAnsi="Calibri" w:cs="Calibri"/>
                <w:lang w:val="en-ZA"/>
              </w:rPr>
              <w:t>Net asset value per ordinary share (cents)</w:t>
            </w:r>
          </w:p>
        </w:tc>
        <w:tc>
          <w:tcPr>
            <w:tcW w:w="1519"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48" w14:textId="601146E5" w:rsidR="00D5279A" w:rsidRDefault="00C6280D">
            <w:pPr>
              <w:widowControl/>
              <w:autoSpaceDE/>
              <w:spacing w:line="312" w:lineRule="auto"/>
              <w:ind w:right="-22"/>
              <w:jc w:val="right"/>
              <w:rPr>
                <w:rFonts w:ascii="Calibri" w:hAnsi="Calibri" w:cs="Calibri"/>
                <w:b/>
                <w:bCs/>
                <w:lang w:val="en-ZA"/>
              </w:rPr>
            </w:pPr>
            <w:r>
              <w:rPr>
                <w:rFonts w:ascii="Calibri" w:hAnsi="Calibri" w:cs="Calibri"/>
                <w:b/>
                <w:bCs/>
                <w:lang w:val="en-ZA"/>
              </w:rPr>
              <w:t>5,3</w:t>
            </w:r>
            <w:r w:rsidR="007C7FA7">
              <w:rPr>
                <w:rFonts w:ascii="Calibri" w:hAnsi="Calibri" w:cs="Calibri"/>
                <w:b/>
                <w:bCs/>
                <w:lang w:val="en-ZA"/>
              </w:rPr>
              <w:t>03</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08549" w14:textId="77777777" w:rsidR="00D5279A" w:rsidRDefault="00C6280D">
            <w:pPr>
              <w:widowControl/>
              <w:autoSpaceDE/>
              <w:spacing w:line="312" w:lineRule="auto"/>
              <w:ind w:right="-22"/>
              <w:jc w:val="right"/>
            </w:pPr>
            <w:r>
              <w:rPr>
                <w:lang w:val="en-ZA"/>
              </w:rPr>
              <w:t>4,926</w:t>
            </w:r>
          </w:p>
        </w:tc>
        <w:tc>
          <w:tcPr>
            <w:tcW w:w="11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90854A" w14:textId="77777777" w:rsidR="00D5279A" w:rsidRDefault="00C6280D">
            <w:pPr>
              <w:widowControl/>
              <w:autoSpaceDE/>
              <w:spacing w:line="312" w:lineRule="auto"/>
              <w:ind w:right="-22"/>
              <w:jc w:val="right"/>
            </w:pPr>
            <w:r>
              <w:rPr>
                <w:rFonts w:ascii="Calibri" w:hAnsi="Calibri" w:cs="Calibri"/>
                <w:lang w:val="en-ZA"/>
              </w:rPr>
              <w:t>7.98%</w:t>
            </w:r>
          </w:p>
        </w:tc>
      </w:tr>
      <w:tr w:rsidR="00C6280D" w14:paraId="5A908550" w14:textId="77777777">
        <w:trPr>
          <w:trHeight w:val="300"/>
        </w:trPr>
        <w:tc>
          <w:tcPr>
            <w:tcW w:w="48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4C" w14:textId="77777777" w:rsidR="00D5279A" w:rsidRDefault="00C6280D">
            <w:pPr>
              <w:widowControl/>
              <w:autoSpaceDE/>
              <w:spacing w:line="312" w:lineRule="auto"/>
              <w:ind w:right="-22"/>
              <w:rPr>
                <w:rFonts w:ascii="Calibri" w:hAnsi="Calibri" w:cs="Calibri"/>
                <w:lang w:val="en-ZA"/>
              </w:rPr>
            </w:pPr>
            <w:r>
              <w:rPr>
                <w:rFonts w:ascii="Calibri" w:hAnsi="Calibri" w:cs="Calibri"/>
                <w:lang w:val="en-ZA"/>
              </w:rPr>
              <w:t>Dividend per ordinary share (cents)</w:t>
            </w:r>
          </w:p>
        </w:tc>
        <w:tc>
          <w:tcPr>
            <w:tcW w:w="1519"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0854D" w14:textId="77777777" w:rsidR="00D5279A" w:rsidRDefault="00C6280D">
            <w:pPr>
              <w:widowControl/>
              <w:autoSpaceDE/>
              <w:spacing w:line="312" w:lineRule="auto"/>
              <w:ind w:right="-22"/>
              <w:jc w:val="right"/>
              <w:rPr>
                <w:rFonts w:ascii="Calibri" w:hAnsi="Calibri" w:cs="Calibri"/>
                <w:b/>
                <w:bCs/>
                <w:lang w:val="en-ZA"/>
              </w:rPr>
            </w:pPr>
            <w:r>
              <w:rPr>
                <w:rFonts w:ascii="Calibri" w:hAnsi="Calibri" w:cs="Calibri"/>
                <w:b/>
                <w:bCs/>
                <w:lang w:val="en-ZA"/>
              </w:rPr>
              <w:t>-</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0854E" w14:textId="0CE12D33" w:rsidR="00D5279A" w:rsidRDefault="0021579D">
            <w:pPr>
              <w:widowControl/>
              <w:autoSpaceDE/>
              <w:spacing w:line="312" w:lineRule="auto"/>
              <w:ind w:right="-22"/>
              <w:jc w:val="right"/>
            </w:pPr>
            <w:r>
              <w:t>33.95</w:t>
            </w:r>
            <w:r w:rsidR="00C6280D">
              <w:t xml:space="preserve">                          </w:t>
            </w:r>
          </w:p>
        </w:tc>
        <w:tc>
          <w:tcPr>
            <w:tcW w:w="11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90854F" w14:textId="77777777" w:rsidR="00D5279A" w:rsidRDefault="00C6280D">
            <w:pPr>
              <w:widowControl/>
              <w:autoSpaceDE/>
              <w:spacing w:line="312" w:lineRule="auto"/>
              <w:ind w:right="-22"/>
              <w:jc w:val="right"/>
            </w:pPr>
            <w:r>
              <w:rPr>
                <w:rFonts w:ascii="Calibri" w:hAnsi="Calibri" w:cs="Calibri"/>
              </w:rPr>
              <w:t>(100.00%)</w:t>
            </w:r>
          </w:p>
        </w:tc>
      </w:tr>
      <w:tr w:rsidR="00C6280D" w14:paraId="5A908555" w14:textId="77777777">
        <w:trPr>
          <w:trHeight w:val="300"/>
        </w:trPr>
        <w:tc>
          <w:tcPr>
            <w:tcW w:w="48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51" w14:textId="77777777" w:rsidR="00D5279A" w:rsidRDefault="00C6280D">
            <w:pPr>
              <w:widowControl/>
              <w:autoSpaceDE/>
              <w:spacing w:line="312" w:lineRule="auto"/>
              <w:ind w:right="-22"/>
              <w:rPr>
                <w:rFonts w:ascii="Calibri" w:hAnsi="Calibri" w:cs="Calibri"/>
                <w:lang w:val="en-ZA"/>
              </w:rPr>
            </w:pPr>
            <w:r>
              <w:rPr>
                <w:rFonts w:ascii="Calibri" w:hAnsi="Calibri" w:cs="Calibri"/>
                <w:lang w:val="en-ZA"/>
              </w:rPr>
              <w:t>Total assets (</w:t>
            </w:r>
            <w:proofErr w:type="spellStart"/>
            <w:r>
              <w:rPr>
                <w:rFonts w:ascii="Calibri" w:hAnsi="Calibri" w:cs="Calibri"/>
                <w:lang w:val="en-ZA"/>
              </w:rPr>
              <w:t>Rbn</w:t>
            </w:r>
            <w:proofErr w:type="spellEnd"/>
            <w:r>
              <w:rPr>
                <w:rFonts w:ascii="Calibri" w:hAnsi="Calibri" w:cs="Calibri"/>
                <w:lang w:val="en-ZA"/>
              </w:rPr>
              <w:t>)</w:t>
            </w:r>
          </w:p>
        </w:tc>
        <w:tc>
          <w:tcPr>
            <w:tcW w:w="1519"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52" w14:textId="77777777" w:rsidR="00D5279A" w:rsidRDefault="00C6280D">
            <w:pPr>
              <w:widowControl/>
              <w:autoSpaceDE/>
              <w:spacing w:line="312" w:lineRule="auto"/>
              <w:ind w:right="-22"/>
              <w:jc w:val="right"/>
              <w:rPr>
                <w:rFonts w:ascii="Calibri" w:hAnsi="Calibri" w:cs="Calibri"/>
                <w:b/>
                <w:bCs/>
                <w:lang w:val="en-ZA"/>
              </w:rPr>
            </w:pPr>
            <w:r>
              <w:rPr>
                <w:rFonts w:ascii="Calibri" w:hAnsi="Calibri" w:cs="Calibri"/>
                <w:b/>
                <w:bCs/>
                <w:lang w:val="en-ZA"/>
              </w:rPr>
              <w:t>13,573</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08553" w14:textId="77777777" w:rsidR="00D5279A" w:rsidRDefault="00C6280D">
            <w:pPr>
              <w:widowControl/>
              <w:autoSpaceDE/>
              <w:spacing w:line="312" w:lineRule="auto"/>
              <w:ind w:right="-22"/>
              <w:jc w:val="right"/>
              <w:rPr>
                <w:rFonts w:ascii="Calibri" w:hAnsi="Calibri" w:cs="Calibri"/>
                <w:lang w:val="en-ZA"/>
              </w:rPr>
            </w:pPr>
            <w:r>
              <w:rPr>
                <w:rFonts w:ascii="Calibri" w:hAnsi="Calibri" w:cs="Calibri"/>
                <w:lang w:val="en-ZA"/>
              </w:rPr>
              <w:t>12,277</w:t>
            </w:r>
          </w:p>
        </w:tc>
        <w:tc>
          <w:tcPr>
            <w:tcW w:w="11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908554" w14:textId="77777777" w:rsidR="00D5279A" w:rsidRDefault="00C6280D">
            <w:pPr>
              <w:widowControl/>
              <w:autoSpaceDE/>
              <w:spacing w:line="312" w:lineRule="auto"/>
              <w:ind w:right="-22"/>
              <w:jc w:val="right"/>
              <w:rPr>
                <w:lang w:val="en-ZA"/>
              </w:rPr>
            </w:pPr>
            <w:r>
              <w:rPr>
                <w:lang w:val="en-ZA"/>
              </w:rPr>
              <w:t>10.56%</w:t>
            </w:r>
          </w:p>
        </w:tc>
      </w:tr>
      <w:tr w:rsidR="00D5279A" w14:paraId="5A90855A" w14:textId="77777777" w:rsidTr="000E30DE">
        <w:trPr>
          <w:trHeight w:val="300"/>
        </w:trPr>
        <w:tc>
          <w:tcPr>
            <w:tcW w:w="48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56" w14:textId="77777777" w:rsidR="00D5279A" w:rsidRDefault="00C6280D">
            <w:pPr>
              <w:widowControl/>
              <w:autoSpaceDE/>
              <w:spacing w:line="312" w:lineRule="auto"/>
              <w:ind w:right="-22"/>
              <w:rPr>
                <w:rFonts w:ascii="Calibri" w:hAnsi="Calibri" w:cs="Calibri"/>
                <w:lang w:val="en-ZA"/>
              </w:rPr>
            </w:pPr>
            <w:r>
              <w:rPr>
                <w:rFonts w:ascii="Calibri" w:hAnsi="Calibri" w:cs="Calibri"/>
                <w:lang w:val="en-ZA"/>
              </w:rPr>
              <w:t>Gross loans and advances (</w:t>
            </w:r>
            <w:proofErr w:type="spellStart"/>
            <w:r>
              <w:rPr>
                <w:rFonts w:ascii="Calibri" w:hAnsi="Calibri" w:cs="Calibri"/>
                <w:lang w:val="en-ZA"/>
              </w:rPr>
              <w:t>Rbn</w:t>
            </w:r>
            <w:proofErr w:type="spellEnd"/>
            <w:r>
              <w:rPr>
                <w:rFonts w:ascii="Calibri" w:hAnsi="Calibri" w:cs="Calibri"/>
                <w:lang w:val="en-ZA"/>
              </w:rPr>
              <w:t>)</w:t>
            </w:r>
          </w:p>
        </w:tc>
        <w:tc>
          <w:tcPr>
            <w:tcW w:w="1519"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57" w14:textId="77777777" w:rsidR="00D5279A" w:rsidRDefault="00C6280D">
            <w:pPr>
              <w:widowControl/>
              <w:autoSpaceDE/>
              <w:spacing w:line="312" w:lineRule="auto"/>
              <w:ind w:right="-22"/>
              <w:jc w:val="right"/>
              <w:rPr>
                <w:rFonts w:ascii="Calibri" w:hAnsi="Calibri" w:cs="Calibri"/>
                <w:b/>
                <w:bCs/>
                <w:lang w:val="en-ZA"/>
              </w:rPr>
            </w:pPr>
            <w:r>
              <w:rPr>
                <w:rFonts w:ascii="Calibri" w:hAnsi="Calibri" w:cs="Calibri"/>
                <w:b/>
                <w:bCs/>
                <w:lang w:val="en-ZA"/>
              </w:rPr>
              <w:t>9,435</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08558" w14:textId="5ED785CD" w:rsidR="00D5279A" w:rsidRDefault="00C6280D">
            <w:pPr>
              <w:widowControl/>
              <w:autoSpaceDE/>
              <w:spacing w:line="312" w:lineRule="auto"/>
              <w:ind w:right="-22"/>
              <w:jc w:val="right"/>
              <w:rPr>
                <w:rFonts w:ascii="Calibri" w:hAnsi="Calibri" w:cs="Calibri"/>
                <w:lang w:val="en-ZA"/>
              </w:rPr>
            </w:pPr>
            <w:r>
              <w:rPr>
                <w:rFonts w:ascii="Calibri" w:hAnsi="Calibri" w:cs="Calibri"/>
                <w:lang w:val="en-ZA"/>
              </w:rPr>
              <w:t>7,700</w:t>
            </w:r>
          </w:p>
        </w:tc>
        <w:tc>
          <w:tcPr>
            <w:tcW w:w="11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908559" w14:textId="0D3500C3" w:rsidR="00D5279A" w:rsidRDefault="00C6280D">
            <w:pPr>
              <w:widowControl/>
              <w:autoSpaceDE/>
              <w:spacing w:line="312" w:lineRule="auto"/>
              <w:ind w:right="-22"/>
              <w:jc w:val="right"/>
              <w:rPr>
                <w:lang w:val="en-ZA"/>
              </w:rPr>
            </w:pPr>
            <w:r>
              <w:rPr>
                <w:lang w:val="en-ZA"/>
              </w:rPr>
              <w:t>22.54%</w:t>
            </w:r>
          </w:p>
        </w:tc>
      </w:tr>
      <w:tr w:rsidR="00C6280D" w14:paraId="5A90855F" w14:textId="77777777">
        <w:trPr>
          <w:trHeight w:val="300"/>
        </w:trPr>
        <w:tc>
          <w:tcPr>
            <w:tcW w:w="48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5B" w14:textId="77777777" w:rsidR="00D5279A" w:rsidRDefault="00C6280D">
            <w:pPr>
              <w:widowControl/>
              <w:autoSpaceDE/>
              <w:spacing w:line="312" w:lineRule="auto"/>
              <w:ind w:right="-22"/>
              <w:rPr>
                <w:rFonts w:ascii="Calibri" w:hAnsi="Calibri" w:cs="Calibri"/>
                <w:lang w:val="en-ZA"/>
              </w:rPr>
            </w:pPr>
            <w:r>
              <w:rPr>
                <w:rFonts w:ascii="Calibri" w:hAnsi="Calibri" w:cs="Calibri"/>
                <w:lang w:val="en-ZA"/>
              </w:rPr>
              <w:t>Core Funding (</w:t>
            </w:r>
            <w:proofErr w:type="spellStart"/>
            <w:r>
              <w:rPr>
                <w:rFonts w:ascii="Calibri" w:hAnsi="Calibri" w:cs="Calibri"/>
                <w:lang w:val="en-ZA"/>
              </w:rPr>
              <w:t>Rbn</w:t>
            </w:r>
            <w:proofErr w:type="spellEnd"/>
            <w:r>
              <w:rPr>
                <w:rFonts w:ascii="Calibri" w:hAnsi="Calibri" w:cs="Calibri"/>
                <w:lang w:val="en-ZA"/>
              </w:rPr>
              <w:t>)</w:t>
            </w:r>
          </w:p>
        </w:tc>
        <w:tc>
          <w:tcPr>
            <w:tcW w:w="1519"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5C" w14:textId="77777777" w:rsidR="00D5279A" w:rsidRDefault="00C6280D">
            <w:pPr>
              <w:widowControl/>
              <w:autoSpaceDE/>
              <w:spacing w:line="312" w:lineRule="auto"/>
              <w:ind w:right="-22"/>
              <w:jc w:val="right"/>
              <w:rPr>
                <w:rFonts w:ascii="Calibri" w:hAnsi="Calibri" w:cs="Calibri"/>
                <w:b/>
                <w:bCs/>
                <w:lang w:val="en-ZA"/>
              </w:rPr>
            </w:pPr>
            <w:r>
              <w:rPr>
                <w:rFonts w:ascii="Calibri" w:hAnsi="Calibri" w:cs="Calibri"/>
                <w:b/>
                <w:bCs/>
                <w:lang w:val="en-ZA"/>
              </w:rPr>
              <w:t>9,492</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0855D" w14:textId="77777777" w:rsidR="00D5279A" w:rsidRDefault="00C6280D">
            <w:pPr>
              <w:widowControl/>
              <w:autoSpaceDE/>
              <w:spacing w:line="312" w:lineRule="auto"/>
              <w:ind w:right="-22"/>
              <w:jc w:val="right"/>
              <w:rPr>
                <w:rFonts w:ascii="Calibri" w:hAnsi="Calibri" w:cs="Calibri"/>
                <w:lang w:val="en-ZA"/>
              </w:rPr>
            </w:pPr>
            <w:r>
              <w:rPr>
                <w:rFonts w:ascii="Calibri" w:hAnsi="Calibri" w:cs="Calibri"/>
                <w:lang w:val="en-ZA"/>
              </w:rPr>
              <w:t>9,025</w:t>
            </w:r>
          </w:p>
        </w:tc>
        <w:tc>
          <w:tcPr>
            <w:tcW w:w="11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90855E" w14:textId="77777777" w:rsidR="00D5279A" w:rsidRDefault="00C6280D">
            <w:pPr>
              <w:widowControl/>
              <w:autoSpaceDE/>
              <w:spacing w:line="312" w:lineRule="auto"/>
              <w:ind w:right="-22"/>
              <w:jc w:val="right"/>
              <w:rPr>
                <w:lang w:val="en-ZA"/>
              </w:rPr>
            </w:pPr>
            <w:r>
              <w:rPr>
                <w:lang w:val="en-ZA"/>
              </w:rPr>
              <w:t>5.17%</w:t>
            </w:r>
          </w:p>
        </w:tc>
      </w:tr>
      <w:tr w:rsidR="00D5279A" w14:paraId="5A908564" w14:textId="77777777" w:rsidTr="000E30DE">
        <w:trPr>
          <w:trHeight w:val="300"/>
        </w:trPr>
        <w:tc>
          <w:tcPr>
            <w:tcW w:w="48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60" w14:textId="77777777" w:rsidR="00D5279A" w:rsidRDefault="00C6280D">
            <w:pPr>
              <w:widowControl/>
              <w:autoSpaceDE/>
              <w:spacing w:line="312" w:lineRule="auto"/>
              <w:ind w:right="-22"/>
              <w:rPr>
                <w:rFonts w:ascii="Calibri" w:hAnsi="Calibri" w:cs="Calibri"/>
                <w:lang w:val="en-ZA"/>
              </w:rPr>
            </w:pPr>
            <w:r>
              <w:rPr>
                <w:rFonts w:ascii="Calibri" w:hAnsi="Calibri" w:cs="Calibri"/>
                <w:lang w:val="en-ZA"/>
              </w:rPr>
              <w:t>Capital adequacy ratio (%)</w:t>
            </w:r>
          </w:p>
        </w:tc>
        <w:tc>
          <w:tcPr>
            <w:tcW w:w="1519"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61" w14:textId="77777777" w:rsidR="00D5279A" w:rsidRDefault="00C6280D">
            <w:pPr>
              <w:widowControl/>
              <w:autoSpaceDE/>
              <w:spacing w:line="312" w:lineRule="auto"/>
              <w:ind w:right="-22"/>
              <w:jc w:val="right"/>
              <w:rPr>
                <w:rFonts w:ascii="Calibri" w:hAnsi="Calibri" w:cs="Calibri"/>
                <w:b/>
                <w:bCs/>
                <w:lang w:val="en-ZA"/>
              </w:rPr>
            </w:pPr>
            <w:r>
              <w:rPr>
                <w:rFonts w:ascii="Calibri" w:hAnsi="Calibri" w:cs="Calibri"/>
                <w:b/>
                <w:bCs/>
                <w:lang w:val="en-ZA"/>
              </w:rPr>
              <w:t>16.34</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08562" w14:textId="77777777" w:rsidR="00D5279A" w:rsidRDefault="00C6280D">
            <w:pPr>
              <w:widowControl/>
              <w:autoSpaceDE/>
              <w:spacing w:line="312" w:lineRule="auto"/>
              <w:ind w:right="-22"/>
              <w:jc w:val="right"/>
              <w:rPr>
                <w:rFonts w:ascii="Calibri" w:hAnsi="Calibri" w:cs="Calibri"/>
                <w:lang w:val="en-ZA"/>
              </w:rPr>
            </w:pPr>
            <w:r>
              <w:rPr>
                <w:rFonts w:ascii="Calibri" w:hAnsi="Calibri" w:cs="Calibri"/>
                <w:lang w:val="en-ZA"/>
              </w:rPr>
              <w:t>17.37</w:t>
            </w:r>
          </w:p>
        </w:tc>
        <w:tc>
          <w:tcPr>
            <w:tcW w:w="11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908563" w14:textId="456AF2E9" w:rsidR="00D5279A" w:rsidRDefault="00C6280D">
            <w:pPr>
              <w:widowControl/>
              <w:autoSpaceDE/>
              <w:spacing w:line="312" w:lineRule="auto"/>
              <w:ind w:right="-22"/>
              <w:jc w:val="right"/>
              <w:rPr>
                <w:lang w:val="en-ZA"/>
              </w:rPr>
            </w:pPr>
            <w:r>
              <w:rPr>
                <w:lang w:val="en-ZA"/>
              </w:rPr>
              <w:t>-103 bps</w:t>
            </w:r>
          </w:p>
        </w:tc>
      </w:tr>
      <w:tr w:rsidR="00D5279A" w14:paraId="5A908569" w14:textId="77777777" w:rsidTr="000E30DE">
        <w:trPr>
          <w:trHeight w:val="300"/>
        </w:trPr>
        <w:tc>
          <w:tcPr>
            <w:tcW w:w="48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65" w14:textId="77777777" w:rsidR="00D5279A" w:rsidRDefault="00C6280D">
            <w:pPr>
              <w:widowControl/>
              <w:autoSpaceDE/>
              <w:spacing w:line="312" w:lineRule="auto"/>
              <w:ind w:right="-22"/>
              <w:rPr>
                <w:rFonts w:ascii="Calibri" w:hAnsi="Calibri" w:cs="Calibri"/>
                <w:lang w:val="en-ZA"/>
              </w:rPr>
            </w:pPr>
            <w:r>
              <w:rPr>
                <w:rFonts w:ascii="Calibri" w:hAnsi="Calibri" w:cs="Calibri"/>
                <w:lang w:val="en-ZA"/>
              </w:rPr>
              <w:t>Group coverage ratio (%)</w:t>
            </w:r>
          </w:p>
        </w:tc>
        <w:tc>
          <w:tcPr>
            <w:tcW w:w="1519"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66" w14:textId="77777777" w:rsidR="00D5279A" w:rsidRDefault="00C6280D">
            <w:pPr>
              <w:widowControl/>
              <w:autoSpaceDE/>
              <w:spacing w:line="312" w:lineRule="auto"/>
              <w:ind w:right="-22"/>
              <w:jc w:val="right"/>
              <w:rPr>
                <w:rFonts w:ascii="Calibri" w:hAnsi="Calibri" w:cs="Calibri"/>
                <w:b/>
                <w:bCs/>
                <w:lang w:val="en-ZA"/>
              </w:rPr>
            </w:pPr>
            <w:r>
              <w:rPr>
                <w:rFonts w:ascii="Calibri" w:hAnsi="Calibri" w:cs="Calibri"/>
                <w:b/>
                <w:bCs/>
                <w:lang w:val="en-ZA"/>
              </w:rPr>
              <w:t>5.27%</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08567" w14:textId="32F5A5B8" w:rsidR="00D5279A" w:rsidRDefault="00C6280D">
            <w:pPr>
              <w:widowControl/>
              <w:autoSpaceDE/>
              <w:spacing w:line="312" w:lineRule="auto"/>
              <w:ind w:right="-22"/>
              <w:jc w:val="right"/>
              <w:rPr>
                <w:rFonts w:ascii="Calibri" w:hAnsi="Calibri" w:cs="Calibri"/>
                <w:lang w:val="en-ZA"/>
              </w:rPr>
            </w:pPr>
            <w:r>
              <w:rPr>
                <w:rFonts w:ascii="Calibri" w:hAnsi="Calibri" w:cs="Calibri"/>
                <w:lang w:val="en-ZA"/>
              </w:rPr>
              <w:t>6.58%</w:t>
            </w:r>
          </w:p>
        </w:tc>
        <w:tc>
          <w:tcPr>
            <w:tcW w:w="11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908568" w14:textId="14E34BDA" w:rsidR="00D5279A" w:rsidRDefault="00C6280D">
            <w:pPr>
              <w:widowControl/>
              <w:autoSpaceDE/>
              <w:spacing w:line="312" w:lineRule="auto"/>
              <w:ind w:right="-22"/>
              <w:jc w:val="right"/>
              <w:rPr>
                <w:lang w:val="en-ZA"/>
              </w:rPr>
            </w:pPr>
            <w:r>
              <w:rPr>
                <w:lang w:val="en-ZA"/>
              </w:rPr>
              <w:t>-131 bps</w:t>
            </w:r>
          </w:p>
        </w:tc>
      </w:tr>
      <w:tr w:rsidR="00C6280D" w14:paraId="5A90856E" w14:textId="77777777">
        <w:trPr>
          <w:trHeight w:val="300"/>
        </w:trPr>
        <w:tc>
          <w:tcPr>
            <w:tcW w:w="48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6A" w14:textId="77777777" w:rsidR="00D5279A" w:rsidRDefault="00C6280D">
            <w:pPr>
              <w:widowControl/>
              <w:autoSpaceDE/>
              <w:spacing w:line="312" w:lineRule="auto"/>
              <w:ind w:right="-22"/>
              <w:rPr>
                <w:rFonts w:ascii="Calibri" w:hAnsi="Calibri" w:cs="Calibri"/>
                <w:lang w:val="en-ZA"/>
              </w:rPr>
            </w:pPr>
            <w:r>
              <w:rPr>
                <w:rFonts w:ascii="Calibri" w:hAnsi="Calibri" w:cs="Calibri"/>
                <w:lang w:val="en-ZA"/>
              </w:rPr>
              <w:t>Credit loss ratio (bps)</w:t>
            </w:r>
          </w:p>
        </w:tc>
        <w:tc>
          <w:tcPr>
            <w:tcW w:w="1519"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90856B" w14:textId="77777777" w:rsidR="00D5279A" w:rsidRDefault="00C6280D">
            <w:pPr>
              <w:widowControl/>
              <w:autoSpaceDE/>
              <w:spacing w:line="312" w:lineRule="auto"/>
              <w:ind w:right="-22"/>
              <w:jc w:val="right"/>
              <w:rPr>
                <w:rFonts w:ascii="Calibri" w:hAnsi="Calibri" w:cs="Calibri"/>
                <w:b/>
                <w:bCs/>
                <w:lang w:val="en-ZA"/>
              </w:rPr>
            </w:pPr>
            <w:r>
              <w:rPr>
                <w:rFonts w:ascii="Calibri" w:hAnsi="Calibri" w:cs="Calibri"/>
                <w:b/>
                <w:bCs/>
                <w:lang w:val="en-ZA"/>
              </w:rPr>
              <w:t>130</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0856C" w14:textId="77777777" w:rsidR="00D5279A" w:rsidRDefault="00C6280D">
            <w:pPr>
              <w:widowControl/>
              <w:autoSpaceDE/>
              <w:spacing w:line="312" w:lineRule="auto"/>
              <w:ind w:right="-22"/>
              <w:jc w:val="right"/>
              <w:rPr>
                <w:rFonts w:ascii="Calibri" w:hAnsi="Calibri" w:cs="Calibri"/>
                <w:lang w:val="en-ZA"/>
              </w:rPr>
            </w:pPr>
            <w:r>
              <w:rPr>
                <w:rFonts w:ascii="Calibri" w:hAnsi="Calibri" w:cs="Calibri"/>
                <w:lang w:val="en-ZA"/>
              </w:rPr>
              <w:t>23</w:t>
            </w:r>
          </w:p>
        </w:tc>
        <w:tc>
          <w:tcPr>
            <w:tcW w:w="11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90856D" w14:textId="77777777" w:rsidR="00D5279A" w:rsidRDefault="00C6280D">
            <w:pPr>
              <w:widowControl/>
              <w:autoSpaceDE/>
              <w:spacing w:line="312" w:lineRule="auto"/>
              <w:ind w:right="-22"/>
              <w:jc w:val="right"/>
              <w:rPr>
                <w:lang w:val="en-ZA"/>
              </w:rPr>
            </w:pPr>
            <w:r>
              <w:rPr>
                <w:lang w:val="en-ZA"/>
              </w:rPr>
              <w:t>107 bps</w:t>
            </w:r>
          </w:p>
        </w:tc>
      </w:tr>
    </w:tbl>
    <w:p w14:paraId="5A90856F" w14:textId="77777777" w:rsidR="00D5279A" w:rsidRDefault="00D5279A">
      <w:pPr>
        <w:spacing w:line="312" w:lineRule="auto"/>
        <w:ind w:right="-22"/>
        <w:rPr>
          <w:rFonts w:ascii="Calibri" w:hAnsi="Calibri" w:cs="Calibri"/>
          <w:b/>
          <w:bCs/>
          <w:color w:val="414042"/>
        </w:rPr>
      </w:pPr>
    </w:p>
    <w:p w14:paraId="5A908570" w14:textId="77777777" w:rsidR="00D5279A" w:rsidRDefault="00C6280D">
      <w:pPr>
        <w:spacing w:line="312" w:lineRule="auto"/>
        <w:ind w:right="-22"/>
      </w:pPr>
      <w:r>
        <w:rPr>
          <w:rFonts w:ascii="Calibri" w:hAnsi="Calibri" w:cs="Calibri"/>
          <w:b/>
          <w:bCs/>
          <w:color w:val="414042"/>
          <w:vertAlign w:val="superscript"/>
        </w:rPr>
        <w:t xml:space="preserve">1 </w:t>
      </w:r>
      <w:r>
        <w:rPr>
          <w:rFonts w:ascii="Calibri" w:hAnsi="Calibri" w:cs="Calibri"/>
          <w:color w:val="414042"/>
        </w:rPr>
        <w:t xml:space="preserve">Restated in accordance with restatement applied in the 30 June 2022 Annual Financial Statements. </w:t>
      </w:r>
    </w:p>
    <w:p w14:paraId="5A908571" w14:textId="77777777" w:rsidR="00D5279A" w:rsidRDefault="00D5279A">
      <w:pPr>
        <w:spacing w:line="312" w:lineRule="auto"/>
        <w:ind w:right="-22"/>
        <w:rPr>
          <w:rFonts w:ascii="Calibri" w:hAnsi="Calibri" w:cs="Calibri"/>
          <w:b/>
          <w:bCs/>
          <w:color w:val="414042"/>
        </w:rPr>
      </w:pPr>
    </w:p>
    <w:p w14:paraId="5A908572" w14:textId="77777777" w:rsidR="00D5279A" w:rsidRDefault="00D5279A" w:rsidP="000E30DE">
      <w:pPr>
        <w:pageBreakBefore/>
        <w:widowControl/>
        <w:autoSpaceDE/>
        <w:spacing w:after="160" w:line="254" w:lineRule="auto"/>
        <w:rPr>
          <w:rFonts w:ascii="Calibri" w:hAnsi="Calibri" w:cs="Calibri"/>
          <w:b/>
          <w:bCs/>
          <w:color w:val="414042"/>
        </w:rPr>
      </w:pPr>
    </w:p>
    <w:p w14:paraId="5A908573" w14:textId="77777777" w:rsidR="00D5279A" w:rsidRDefault="00C6280D" w:rsidP="00CD607D">
      <w:pPr>
        <w:spacing w:line="312" w:lineRule="auto"/>
        <w:ind w:right="-22"/>
        <w:jc w:val="both"/>
        <w:rPr>
          <w:rFonts w:ascii="Calibri" w:hAnsi="Calibri" w:cs="Calibri"/>
          <w:b/>
          <w:bCs/>
          <w:color w:val="414042"/>
        </w:rPr>
      </w:pPr>
      <w:r>
        <w:rPr>
          <w:rFonts w:ascii="Calibri" w:hAnsi="Calibri" w:cs="Calibri"/>
          <w:b/>
          <w:bCs/>
          <w:color w:val="414042"/>
        </w:rPr>
        <w:t>Financial performance</w:t>
      </w:r>
    </w:p>
    <w:p w14:paraId="0EBF9869" w14:textId="483C778C" w:rsidR="007044FC" w:rsidRPr="007044FC" w:rsidRDefault="007044FC" w:rsidP="00CD607D">
      <w:pPr>
        <w:spacing w:line="312" w:lineRule="auto"/>
        <w:ind w:right="-22"/>
        <w:jc w:val="both"/>
        <w:rPr>
          <w:rFonts w:ascii="Calibri" w:hAnsi="Calibri" w:cs="Calibri"/>
          <w:color w:val="414042"/>
        </w:rPr>
      </w:pPr>
      <w:r w:rsidRPr="007044FC">
        <w:rPr>
          <w:rFonts w:ascii="Calibri" w:hAnsi="Calibri" w:cs="Calibri"/>
          <w:color w:val="414042"/>
        </w:rPr>
        <w:t>Group headline earnings for the six months ended 31 December 2022 reduced by 20.74% to R67.706 million</w:t>
      </w:r>
      <w:r>
        <w:rPr>
          <w:rFonts w:ascii="Calibri" w:hAnsi="Calibri" w:cs="Calibri"/>
          <w:color w:val="414042"/>
        </w:rPr>
        <w:t xml:space="preserve"> </w:t>
      </w:r>
      <w:r w:rsidRPr="007044FC">
        <w:rPr>
          <w:rFonts w:ascii="Calibri" w:hAnsi="Calibri" w:cs="Calibri"/>
          <w:color w:val="414042"/>
        </w:rPr>
        <w:t>(2021: R85.424 million), resulting in a decline in return on equity to 7.97% (2021: 10.70%).</w:t>
      </w:r>
    </w:p>
    <w:p w14:paraId="67846BCC" w14:textId="77777777" w:rsidR="007044FC" w:rsidRDefault="007044FC" w:rsidP="00CD607D">
      <w:pPr>
        <w:spacing w:line="312" w:lineRule="auto"/>
        <w:ind w:right="-22"/>
        <w:jc w:val="both"/>
        <w:rPr>
          <w:rFonts w:ascii="Calibri" w:hAnsi="Calibri" w:cs="Calibri"/>
          <w:color w:val="414042"/>
        </w:rPr>
      </w:pPr>
    </w:p>
    <w:p w14:paraId="5A908576" w14:textId="3517A792" w:rsidR="00D5279A" w:rsidRDefault="007044FC" w:rsidP="00CD607D">
      <w:pPr>
        <w:spacing w:line="312" w:lineRule="auto"/>
        <w:ind w:right="-22"/>
        <w:jc w:val="both"/>
      </w:pPr>
      <w:r w:rsidRPr="007044FC">
        <w:rPr>
          <w:rFonts w:ascii="Calibri" w:hAnsi="Calibri" w:cs="Calibri"/>
          <w:color w:val="414042"/>
        </w:rPr>
        <w:t>Total income (including income from associates) increased by 12.62% to R705.203 million (2021: R626.179 million)</w:t>
      </w:r>
      <w:r>
        <w:rPr>
          <w:rFonts w:ascii="Calibri" w:hAnsi="Calibri" w:cs="Calibri"/>
          <w:color w:val="414042"/>
        </w:rPr>
        <w:t xml:space="preserve"> </w:t>
      </w:r>
      <w:r w:rsidRPr="007044FC">
        <w:rPr>
          <w:rFonts w:ascii="Calibri" w:hAnsi="Calibri" w:cs="Calibri"/>
          <w:color w:val="414042"/>
        </w:rPr>
        <w:t>with net interest income growing 25.52%, mainly due to strong loan book growth at healthy margins, while</w:t>
      </w:r>
      <w:r>
        <w:rPr>
          <w:rFonts w:ascii="Calibri" w:hAnsi="Calibri" w:cs="Calibri"/>
          <w:color w:val="414042"/>
        </w:rPr>
        <w:t xml:space="preserve"> </w:t>
      </w:r>
      <w:r w:rsidRPr="007044FC">
        <w:rPr>
          <w:rFonts w:ascii="Calibri" w:hAnsi="Calibri" w:cs="Calibri"/>
          <w:color w:val="414042"/>
        </w:rPr>
        <w:t>non-interest revenue remained flat. Total costs grew by 6.88% to R538.068 million (2021: R503.430 million). The</w:t>
      </w:r>
      <w:r>
        <w:rPr>
          <w:rFonts w:ascii="Calibri" w:hAnsi="Calibri" w:cs="Calibri"/>
          <w:color w:val="414042"/>
        </w:rPr>
        <w:t xml:space="preserve"> </w:t>
      </w:r>
      <w:r w:rsidRPr="007044FC">
        <w:rPr>
          <w:rFonts w:ascii="Calibri" w:hAnsi="Calibri" w:cs="Calibri"/>
          <w:color w:val="414042"/>
        </w:rPr>
        <w:t>strong income growth resulted in the cost-to-income ratio improving to 76.30% (2021: 80.40%).</w:t>
      </w:r>
      <w:r w:rsidR="00C6280D">
        <w:rPr>
          <w:rFonts w:ascii="Calibri" w:hAnsi="Calibri" w:cs="Calibri"/>
          <w:color w:val="414042"/>
        </w:rPr>
        <w:t xml:space="preserve">  </w:t>
      </w:r>
    </w:p>
    <w:p w14:paraId="5A908577" w14:textId="77777777" w:rsidR="00D5279A" w:rsidRDefault="00D5279A" w:rsidP="00CD607D">
      <w:pPr>
        <w:spacing w:line="312" w:lineRule="auto"/>
        <w:ind w:right="-22"/>
        <w:jc w:val="both"/>
        <w:rPr>
          <w:rFonts w:ascii="Calibri" w:hAnsi="Calibri" w:cs="Calibri"/>
          <w:b/>
          <w:bCs/>
          <w:color w:val="414042"/>
        </w:rPr>
      </w:pPr>
    </w:p>
    <w:p w14:paraId="5A908578" w14:textId="77777777" w:rsidR="00D5279A" w:rsidRDefault="00C6280D" w:rsidP="00CD607D">
      <w:pPr>
        <w:spacing w:line="312" w:lineRule="auto"/>
        <w:ind w:right="-22"/>
        <w:jc w:val="both"/>
        <w:rPr>
          <w:rFonts w:ascii="Calibri" w:hAnsi="Calibri" w:cs="Calibri"/>
          <w:b/>
          <w:bCs/>
          <w:color w:val="414042"/>
        </w:rPr>
      </w:pPr>
      <w:r>
        <w:rPr>
          <w:rFonts w:ascii="Calibri" w:hAnsi="Calibri" w:cs="Calibri"/>
          <w:b/>
          <w:bCs/>
          <w:color w:val="414042"/>
        </w:rPr>
        <w:t>Financial position</w:t>
      </w:r>
    </w:p>
    <w:p w14:paraId="3BC4E1CB" w14:textId="4E2E71AF" w:rsidR="00A95E6A" w:rsidRPr="00A95E6A" w:rsidRDefault="00A95E6A" w:rsidP="00CD607D">
      <w:pPr>
        <w:spacing w:line="312" w:lineRule="auto"/>
        <w:ind w:right="-22"/>
        <w:jc w:val="both"/>
        <w:rPr>
          <w:rFonts w:ascii="Calibri" w:hAnsi="Calibri" w:cs="Calibri"/>
          <w:color w:val="414042"/>
        </w:rPr>
      </w:pPr>
      <w:r w:rsidRPr="00A95E6A">
        <w:rPr>
          <w:rFonts w:ascii="Calibri" w:hAnsi="Calibri" w:cs="Calibri"/>
          <w:color w:val="414042"/>
        </w:rPr>
        <w:t>Total assets increased 10.56% to R13.573 billion (2021: R12.277 billion), as a result of strong growth in net loans and advances of 24.21% to R8.963 billion (2021: R7.216 billion). Core funding (excluding funding received under repurchase agreements) increased by 5.17% to R9.492 billion (2021: R9.025 billion) as deposits from customers increased to R5.941billion (2021: R5.560 billion). Net available cash and near cash is at R1.605 billion (2021: R2.433 billion). Total ordinary shareholders equity increased by 7.66% to R1.713 billion (2021: R1.591 billion).</w:t>
      </w:r>
    </w:p>
    <w:p w14:paraId="6A81037D" w14:textId="77777777" w:rsidR="00A95E6A" w:rsidRDefault="00A95E6A" w:rsidP="00CD607D">
      <w:pPr>
        <w:spacing w:line="312" w:lineRule="auto"/>
        <w:ind w:right="-22"/>
        <w:jc w:val="both"/>
        <w:rPr>
          <w:rFonts w:ascii="Calibri" w:hAnsi="Calibri" w:cs="Calibri"/>
          <w:color w:val="414042"/>
        </w:rPr>
      </w:pPr>
    </w:p>
    <w:p w14:paraId="5A90857C" w14:textId="38C7F7FA" w:rsidR="00D5279A" w:rsidRPr="00A95E6A" w:rsidRDefault="00A95E6A" w:rsidP="00CD607D">
      <w:pPr>
        <w:spacing w:line="312" w:lineRule="auto"/>
        <w:ind w:right="-22"/>
        <w:jc w:val="both"/>
        <w:rPr>
          <w:rFonts w:ascii="Calibri" w:hAnsi="Calibri" w:cs="Calibri"/>
          <w:color w:val="414042"/>
        </w:rPr>
      </w:pPr>
      <w:r w:rsidRPr="00A95E6A">
        <w:rPr>
          <w:rFonts w:ascii="Calibri" w:hAnsi="Calibri" w:cs="Calibri"/>
          <w:color w:val="414042"/>
        </w:rPr>
        <w:t>Despite higher equity, the Group capital adequacy ratio declined to 16.34% (2021: 17.37%), following strong loan growth. The liquidity coverage ratio and net stable funding ratio remain above regulatory requirements.</w:t>
      </w:r>
    </w:p>
    <w:p w14:paraId="52DB0E7F" w14:textId="760C33E8" w:rsidR="00A95E6A" w:rsidRDefault="00A95E6A" w:rsidP="00CD607D">
      <w:pPr>
        <w:spacing w:line="312" w:lineRule="auto"/>
        <w:ind w:right="-22"/>
        <w:jc w:val="both"/>
        <w:rPr>
          <w:rFonts w:ascii="Calibri" w:hAnsi="Calibri" w:cs="Calibri"/>
          <w:b/>
          <w:bCs/>
          <w:color w:val="414042"/>
        </w:rPr>
      </w:pPr>
    </w:p>
    <w:p w14:paraId="4D3047D0" w14:textId="3AF2C0C9" w:rsidR="00274854" w:rsidRDefault="00274854" w:rsidP="00CD607D">
      <w:pPr>
        <w:spacing w:line="312" w:lineRule="auto"/>
        <w:ind w:right="-22"/>
        <w:jc w:val="both"/>
        <w:rPr>
          <w:rFonts w:ascii="Calibri" w:hAnsi="Calibri" w:cs="Calibri"/>
          <w:b/>
          <w:bCs/>
          <w:color w:val="414042"/>
        </w:rPr>
      </w:pPr>
      <w:r>
        <w:rPr>
          <w:rFonts w:ascii="Calibri" w:hAnsi="Calibri" w:cs="Calibri"/>
          <w:b/>
          <w:bCs/>
          <w:color w:val="414042"/>
        </w:rPr>
        <w:t xml:space="preserve">Credit </w:t>
      </w:r>
      <w:r w:rsidR="00E64366">
        <w:rPr>
          <w:rFonts w:ascii="Calibri" w:hAnsi="Calibri" w:cs="Calibri"/>
          <w:b/>
          <w:bCs/>
          <w:color w:val="414042"/>
        </w:rPr>
        <w:t>performance</w:t>
      </w:r>
    </w:p>
    <w:p w14:paraId="6E4140D9" w14:textId="0B279703" w:rsidR="0015093D" w:rsidRPr="0015093D" w:rsidRDefault="0015093D" w:rsidP="0015093D">
      <w:pPr>
        <w:spacing w:line="312" w:lineRule="auto"/>
        <w:ind w:right="-22"/>
        <w:jc w:val="both"/>
        <w:rPr>
          <w:rFonts w:ascii="Calibri" w:hAnsi="Calibri" w:cs="Calibri"/>
          <w:color w:val="414042"/>
        </w:rPr>
      </w:pPr>
      <w:r w:rsidRPr="0015093D">
        <w:rPr>
          <w:rFonts w:ascii="Calibri" w:hAnsi="Calibri" w:cs="Calibri"/>
          <w:color w:val="414042"/>
        </w:rPr>
        <w:t>The reduction in earnings in the current period is largely due to higher impairment charges. In the first half</w:t>
      </w:r>
      <w:r>
        <w:rPr>
          <w:rFonts w:ascii="Calibri" w:hAnsi="Calibri" w:cs="Calibri"/>
          <w:color w:val="414042"/>
        </w:rPr>
        <w:t xml:space="preserve"> </w:t>
      </w:r>
      <w:r w:rsidRPr="0015093D">
        <w:rPr>
          <w:rFonts w:ascii="Calibri" w:hAnsi="Calibri" w:cs="Calibri"/>
          <w:color w:val="414042"/>
        </w:rPr>
        <w:t>of the prior year the Group saw a low impairment charge following strong recoveries as the Covid-19</w:t>
      </w:r>
    </w:p>
    <w:p w14:paraId="40C99982" w14:textId="49028C72" w:rsidR="0015093D" w:rsidRDefault="0015093D" w:rsidP="00CD607D">
      <w:pPr>
        <w:spacing w:line="312" w:lineRule="auto"/>
        <w:ind w:right="-22"/>
        <w:jc w:val="both"/>
        <w:rPr>
          <w:rFonts w:ascii="Calibri" w:hAnsi="Calibri" w:cs="Calibri"/>
          <w:color w:val="414042"/>
        </w:rPr>
      </w:pPr>
      <w:r w:rsidRPr="0015093D">
        <w:rPr>
          <w:rFonts w:ascii="Calibri" w:hAnsi="Calibri" w:cs="Calibri"/>
          <w:color w:val="414042"/>
        </w:rPr>
        <w:t>pandemic abated. The credit loss ratio has therefore increased to 130 bps (2021: 23bps). The income</w:t>
      </w:r>
      <w:r>
        <w:rPr>
          <w:rFonts w:ascii="Calibri" w:hAnsi="Calibri" w:cs="Calibri"/>
          <w:color w:val="414042"/>
        </w:rPr>
        <w:t xml:space="preserve"> </w:t>
      </w:r>
      <w:r w:rsidRPr="0015093D">
        <w:rPr>
          <w:rFonts w:ascii="Calibri" w:hAnsi="Calibri" w:cs="Calibri"/>
          <w:color w:val="414042"/>
        </w:rPr>
        <w:t>statement impairment charge was further impacted by a</w:t>
      </w:r>
      <w:r>
        <w:rPr>
          <w:rFonts w:ascii="Calibri" w:hAnsi="Calibri" w:cs="Calibri"/>
          <w:color w:val="414042"/>
        </w:rPr>
        <w:t>n amount</w:t>
      </w:r>
      <w:r w:rsidRPr="0015093D">
        <w:rPr>
          <w:rFonts w:ascii="Calibri" w:hAnsi="Calibri" w:cs="Calibri"/>
          <w:color w:val="414042"/>
        </w:rPr>
        <w:t xml:space="preserve"> of R47.6 million raised against</w:t>
      </w:r>
      <w:r>
        <w:rPr>
          <w:rFonts w:ascii="Calibri" w:hAnsi="Calibri" w:cs="Calibri"/>
          <w:color w:val="414042"/>
        </w:rPr>
        <w:t xml:space="preserve"> </w:t>
      </w:r>
      <w:r w:rsidRPr="0015093D">
        <w:rPr>
          <w:rFonts w:ascii="Calibri" w:hAnsi="Calibri" w:cs="Calibri"/>
          <w:color w:val="414042"/>
        </w:rPr>
        <w:t>trade and other receivables.</w:t>
      </w:r>
      <w:r>
        <w:rPr>
          <w:rFonts w:ascii="Calibri" w:hAnsi="Calibri" w:cs="Calibri"/>
          <w:color w:val="414042"/>
        </w:rPr>
        <w:t xml:space="preserve"> </w:t>
      </w:r>
    </w:p>
    <w:p w14:paraId="4CCB6860" w14:textId="77777777" w:rsidR="0015093D" w:rsidRDefault="0015093D" w:rsidP="00CD607D">
      <w:pPr>
        <w:spacing w:line="312" w:lineRule="auto"/>
        <w:ind w:right="-22"/>
        <w:jc w:val="both"/>
        <w:rPr>
          <w:rFonts w:ascii="Calibri" w:hAnsi="Calibri" w:cs="Calibri"/>
          <w:color w:val="414042"/>
        </w:rPr>
      </w:pPr>
    </w:p>
    <w:p w14:paraId="0081FD47" w14:textId="24BF2130" w:rsidR="006D46C7" w:rsidRDefault="00E64366" w:rsidP="00CD607D">
      <w:pPr>
        <w:spacing w:line="312" w:lineRule="auto"/>
        <w:ind w:right="-22"/>
        <w:jc w:val="both"/>
        <w:rPr>
          <w:rFonts w:ascii="Calibri" w:hAnsi="Calibri" w:cs="Calibri"/>
          <w:color w:val="414042"/>
        </w:rPr>
      </w:pPr>
      <w:r w:rsidRPr="006D46C7">
        <w:rPr>
          <w:rFonts w:ascii="Calibri" w:hAnsi="Calibri" w:cs="Calibri"/>
          <w:color w:val="414042"/>
        </w:rPr>
        <w:t>The loan growth was primarily in loan portfolios that have a lower loss given default due to the embedded security underlying these loans, which in turn translates into the lower coverage ratios to 5.27% (2021: 6.58%). Over 40% of our Stage 3 loans are covered by independently valued security in the form of property and yellow metal equipment and/or insurance held from blue chip counterparties.</w:t>
      </w:r>
    </w:p>
    <w:p w14:paraId="0C990E9E" w14:textId="77777777" w:rsidR="006D46C7" w:rsidRDefault="006D46C7" w:rsidP="00CD607D">
      <w:pPr>
        <w:spacing w:line="312" w:lineRule="auto"/>
        <w:ind w:right="-22"/>
        <w:jc w:val="both"/>
        <w:rPr>
          <w:rFonts w:ascii="Calibri" w:hAnsi="Calibri" w:cs="Calibri"/>
          <w:color w:val="414042"/>
        </w:rPr>
      </w:pPr>
    </w:p>
    <w:p w14:paraId="7E6905FF" w14:textId="15DE4F68" w:rsidR="00E64366" w:rsidRPr="006D46C7" w:rsidRDefault="00E64366" w:rsidP="00CD607D">
      <w:pPr>
        <w:spacing w:line="312" w:lineRule="auto"/>
        <w:ind w:right="-22"/>
        <w:jc w:val="both"/>
        <w:rPr>
          <w:rFonts w:ascii="Calibri" w:hAnsi="Calibri" w:cs="Calibri"/>
          <w:color w:val="414042"/>
        </w:rPr>
      </w:pPr>
      <w:r w:rsidRPr="006D46C7">
        <w:rPr>
          <w:rFonts w:ascii="Calibri" w:hAnsi="Calibri" w:cs="Calibri"/>
          <w:color w:val="414042"/>
        </w:rPr>
        <w:t xml:space="preserve">Since June 2022, Stage 3 loans have deteriorated to 10.46% (June 2022: 10.10%). We continue to </w:t>
      </w:r>
      <w:proofErr w:type="gramStart"/>
      <w:r w:rsidRPr="006D46C7">
        <w:rPr>
          <w:rFonts w:ascii="Calibri" w:hAnsi="Calibri" w:cs="Calibri"/>
          <w:color w:val="414042"/>
        </w:rPr>
        <w:t>work</w:t>
      </w:r>
      <w:proofErr w:type="gramEnd"/>
    </w:p>
    <w:p w14:paraId="0DDAA84E" w14:textId="6972FAB5" w:rsidR="00E64366" w:rsidRPr="006D46C7" w:rsidRDefault="00E64366" w:rsidP="00CD607D">
      <w:pPr>
        <w:spacing w:line="312" w:lineRule="auto"/>
        <w:ind w:right="-22"/>
        <w:jc w:val="both"/>
        <w:rPr>
          <w:rFonts w:ascii="Calibri" w:hAnsi="Calibri" w:cs="Calibri"/>
          <w:color w:val="414042"/>
        </w:rPr>
      </w:pPr>
      <w:r w:rsidRPr="006D46C7">
        <w:rPr>
          <w:rFonts w:ascii="Calibri" w:hAnsi="Calibri" w:cs="Calibri"/>
          <w:color w:val="414042"/>
        </w:rPr>
        <w:t xml:space="preserve">closely with those clients with fundamentally strong business models, who have faced cash flow pressures </w:t>
      </w:r>
      <w:r w:rsidRPr="006D46C7">
        <w:rPr>
          <w:rFonts w:ascii="Calibri" w:hAnsi="Calibri" w:cs="Calibri"/>
          <w:color w:val="414042"/>
        </w:rPr>
        <w:lastRenderedPageBreak/>
        <w:t>as a result of the economic challenges.</w:t>
      </w:r>
    </w:p>
    <w:p w14:paraId="46DF02E2" w14:textId="77777777" w:rsidR="00E64366" w:rsidRDefault="00E64366" w:rsidP="00CD607D">
      <w:pPr>
        <w:spacing w:line="312" w:lineRule="auto"/>
        <w:ind w:right="-22"/>
        <w:jc w:val="both"/>
        <w:rPr>
          <w:rFonts w:ascii="Calibri" w:hAnsi="Calibri" w:cs="Calibri"/>
          <w:b/>
          <w:bCs/>
          <w:color w:val="414042"/>
        </w:rPr>
      </w:pPr>
    </w:p>
    <w:p w14:paraId="6AB24E9E" w14:textId="02B1B8A6" w:rsidR="00785DA7" w:rsidRDefault="00785DA7" w:rsidP="00CD607D">
      <w:pPr>
        <w:spacing w:line="312" w:lineRule="auto"/>
        <w:ind w:right="-22"/>
        <w:jc w:val="both"/>
        <w:rPr>
          <w:rFonts w:ascii="Calibri" w:hAnsi="Calibri" w:cs="Calibri"/>
          <w:b/>
          <w:bCs/>
          <w:color w:val="414042"/>
        </w:rPr>
      </w:pPr>
      <w:r>
        <w:rPr>
          <w:rFonts w:ascii="Calibri" w:hAnsi="Calibri" w:cs="Calibri"/>
          <w:b/>
          <w:bCs/>
          <w:color w:val="414042"/>
        </w:rPr>
        <w:t>Dividend</w:t>
      </w:r>
      <w:r w:rsidR="00274854">
        <w:rPr>
          <w:rFonts w:ascii="Calibri" w:hAnsi="Calibri" w:cs="Calibri"/>
          <w:b/>
          <w:bCs/>
          <w:color w:val="414042"/>
        </w:rPr>
        <w:t>s</w:t>
      </w:r>
    </w:p>
    <w:p w14:paraId="5C738249" w14:textId="77777777" w:rsidR="00274854" w:rsidRPr="00274854" w:rsidRDefault="00274854" w:rsidP="00CD607D">
      <w:pPr>
        <w:spacing w:line="312" w:lineRule="auto"/>
        <w:ind w:right="-22"/>
        <w:jc w:val="both"/>
        <w:rPr>
          <w:rFonts w:ascii="Calibri" w:hAnsi="Calibri" w:cs="Calibri"/>
          <w:color w:val="414042"/>
        </w:rPr>
      </w:pPr>
      <w:r w:rsidRPr="00274854">
        <w:rPr>
          <w:rFonts w:ascii="Calibri" w:hAnsi="Calibri" w:cs="Calibri"/>
          <w:color w:val="414042"/>
        </w:rPr>
        <w:t xml:space="preserve">Given the growth in lending activities and the challenging economic conditions, the board of </w:t>
      </w:r>
      <w:proofErr w:type="gramStart"/>
      <w:r w:rsidRPr="00274854">
        <w:rPr>
          <w:rFonts w:ascii="Calibri" w:hAnsi="Calibri" w:cs="Calibri"/>
          <w:color w:val="414042"/>
        </w:rPr>
        <w:t>directors</w:t>
      </w:r>
      <w:proofErr w:type="gramEnd"/>
    </w:p>
    <w:p w14:paraId="77055839" w14:textId="44C9353D" w:rsidR="00274854" w:rsidRPr="00274854" w:rsidRDefault="00274854" w:rsidP="00CD607D">
      <w:pPr>
        <w:spacing w:line="312" w:lineRule="auto"/>
        <w:ind w:right="-22"/>
        <w:jc w:val="both"/>
        <w:rPr>
          <w:rFonts w:ascii="Calibri" w:hAnsi="Calibri" w:cs="Calibri"/>
          <w:color w:val="414042"/>
        </w:rPr>
      </w:pPr>
      <w:r w:rsidRPr="00274854">
        <w:rPr>
          <w:rFonts w:ascii="Calibri" w:hAnsi="Calibri" w:cs="Calibri"/>
          <w:color w:val="414042"/>
        </w:rPr>
        <w:t>of the Company has resolved not to pay an interim dividend for the six months ending 31 December 2022 (2021: 33.95026 cents).</w:t>
      </w:r>
    </w:p>
    <w:p w14:paraId="2E16F672" w14:textId="77777777" w:rsidR="00274854" w:rsidRPr="00274854" w:rsidRDefault="00274854" w:rsidP="00CD607D">
      <w:pPr>
        <w:spacing w:line="312" w:lineRule="auto"/>
        <w:ind w:right="-22"/>
        <w:jc w:val="both"/>
        <w:rPr>
          <w:rFonts w:ascii="Calibri" w:hAnsi="Calibri" w:cs="Calibri"/>
          <w:color w:val="414042"/>
        </w:rPr>
      </w:pPr>
    </w:p>
    <w:p w14:paraId="5A90857D" w14:textId="2B941339" w:rsidR="00D5279A" w:rsidRDefault="00C6280D" w:rsidP="00CD607D">
      <w:pPr>
        <w:spacing w:line="312" w:lineRule="auto"/>
        <w:ind w:right="-22"/>
        <w:jc w:val="both"/>
        <w:rPr>
          <w:rFonts w:ascii="Calibri" w:hAnsi="Calibri" w:cs="Calibri"/>
          <w:b/>
          <w:bCs/>
          <w:color w:val="414042"/>
        </w:rPr>
      </w:pPr>
      <w:r>
        <w:rPr>
          <w:rFonts w:ascii="Calibri" w:hAnsi="Calibri" w:cs="Calibri"/>
          <w:b/>
          <w:bCs/>
          <w:color w:val="414042"/>
        </w:rPr>
        <w:t>Segmental overview</w:t>
      </w:r>
    </w:p>
    <w:p w14:paraId="11E8B592" w14:textId="77777777" w:rsidR="0017670C" w:rsidRDefault="0017670C" w:rsidP="00CD607D">
      <w:pPr>
        <w:spacing w:line="312" w:lineRule="auto"/>
        <w:ind w:right="-22"/>
        <w:jc w:val="both"/>
        <w:rPr>
          <w:rFonts w:ascii="Calibri" w:hAnsi="Calibri" w:cs="Calibri"/>
          <w:b/>
          <w:bCs/>
          <w:color w:val="414042"/>
        </w:rPr>
      </w:pPr>
    </w:p>
    <w:p w14:paraId="4127D3E2" w14:textId="0750B69D" w:rsidR="0017670C" w:rsidRPr="0017670C" w:rsidRDefault="0017670C" w:rsidP="00CD607D">
      <w:pPr>
        <w:spacing w:line="312" w:lineRule="auto"/>
        <w:ind w:right="-22"/>
        <w:jc w:val="both"/>
        <w:rPr>
          <w:rFonts w:ascii="Calibri" w:hAnsi="Calibri" w:cs="Calibri"/>
          <w:color w:val="414042"/>
        </w:rPr>
      </w:pPr>
      <w:r w:rsidRPr="0017670C">
        <w:rPr>
          <w:rFonts w:ascii="Calibri" w:hAnsi="Calibri" w:cs="Calibri"/>
          <w:color w:val="414042"/>
        </w:rPr>
        <w:t xml:space="preserve">Asset Finance operating profit declined 23.05% to R75.231 million (2021: R97.773 million), as a result of the higher impairments following strong loan growth and the impact of rising interest rates on fixed contract margins. Healthy growth experienced in the loan book boosted the book to over R8 billion, resulting in income growth of 11.86% to R298.575 million (2021: R266.918 million). We continue to diversify and expand our offering, with the well-secured </w:t>
      </w:r>
      <w:proofErr w:type="spellStart"/>
      <w:r w:rsidRPr="0017670C">
        <w:rPr>
          <w:rFonts w:ascii="Calibri" w:hAnsi="Calibri" w:cs="Calibri"/>
          <w:color w:val="414042"/>
        </w:rPr>
        <w:t>Specialised</w:t>
      </w:r>
      <w:proofErr w:type="spellEnd"/>
      <w:r w:rsidRPr="0017670C">
        <w:rPr>
          <w:rFonts w:ascii="Calibri" w:hAnsi="Calibri" w:cs="Calibri"/>
          <w:color w:val="414042"/>
        </w:rPr>
        <w:t xml:space="preserve"> Equipment Finance book, growing to 30% (2021: 23%) of the total Asset Finance book.</w:t>
      </w:r>
    </w:p>
    <w:p w14:paraId="5A908585" w14:textId="14870194" w:rsidR="00D5279A" w:rsidRDefault="0017670C" w:rsidP="00CD607D">
      <w:pPr>
        <w:spacing w:line="312" w:lineRule="auto"/>
        <w:ind w:right="-22"/>
        <w:jc w:val="both"/>
        <w:rPr>
          <w:rFonts w:ascii="Calibri" w:hAnsi="Calibri" w:cs="Calibri"/>
          <w:color w:val="414042"/>
        </w:rPr>
      </w:pPr>
      <w:r w:rsidRPr="0017670C">
        <w:rPr>
          <w:rFonts w:ascii="Calibri" w:hAnsi="Calibri" w:cs="Calibri"/>
          <w:color w:val="414042"/>
        </w:rPr>
        <w:t xml:space="preserve">We also continue to invest in strengthening our operational, financial and technology capabilities in Asset Finance to support our ongoing growth in this area. Demand for </w:t>
      </w:r>
      <w:proofErr w:type="spellStart"/>
      <w:r w:rsidRPr="0017670C">
        <w:rPr>
          <w:rFonts w:ascii="Calibri" w:hAnsi="Calibri" w:cs="Calibri"/>
          <w:color w:val="414042"/>
        </w:rPr>
        <w:t>securitisation</w:t>
      </w:r>
      <w:proofErr w:type="spellEnd"/>
      <w:r w:rsidRPr="0017670C">
        <w:rPr>
          <w:rFonts w:ascii="Calibri" w:hAnsi="Calibri" w:cs="Calibri"/>
          <w:color w:val="414042"/>
        </w:rPr>
        <w:t xml:space="preserve"> paper which provides excellent funding, in addition to deposits, remains strong.</w:t>
      </w:r>
    </w:p>
    <w:p w14:paraId="1A54413E" w14:textId="18D64D09" w:rsidR="0017670C" w:rsidRDefault="0017670C" w:rsidP="00CD607D">
      <w:pPr>
        <w:spacing w:line="312" w:lineRule="auto"/>
        <w:ind w:right="-22"/>
        <w:jc w:val="both"/>
        <w:rPr>
          <w:rFonts w:ascii="Calibri" w:hAnsi="Calibri" w:cs="Calibri"/>
          <w:color w:val="414042"/>
        </w:rPr>
      </w:pPr>
    </w:p>
    <w:p w14:paraId="1A1FABD3" w14:textId="77777777" w:rsidR="00237BBF" w:rsidRPr="00237BBF" w:rsidRDefault="00237BBF" w:rsidP="00CD607D">
      <w:pPr>
        <w:spacing w:line="312" w:lineRule="auto"/>
        <w:ind w:right="-22"/>
        <w:jc w:val="both"/>
        <w:rPr>
          <w:rFonts w:ascii="Calibri" w:hAnsi="Calibri" w:cs="Calibri"/>
          <w:color w:val="414042"/>
        </w:rPr>
      </w:pPr>
      <w:r w:rsidRPr="00237BBF">
        <w:rPr>
          <w:rFonts w:ascii="Calibri" w:hAnsi="Calibri" w:cs="Calibri"/>
          <w:color w:val="414042"/>
        </w:rPr>
        <w:t>Business and Commercial Banking recorded an operating loss of R31.200 million (2021: profit of</w:t>
      </w:r>
    </w:p>
    <w:p w14:paraId="70561DDF" w14:textId="5F688898" w:rsidR="00237BBF" w:rsidRDefault="00237BBF" w:rsidP="00CD607D">
      <w:pPr>
        <w:spacing w:line="312" w:lineRule="auto"/>
        <w:ind w:right="-22"/>
        <w:jc w:val="both"/>
        <w:rPr>
          <w:rFonts w:ascii="Calibri" w:hAnsi="Calibri" w:cs="Calibri"/>
          <w:color w:val="414042"/>
        </w:rPr>
      </w:pPr>
      <w:r w:rsidRPr="00237BBF">
        <w:rPr>
          <w:rFonts w:ascii="Calibri" w:hAnsi="Calibri" w:cs="Calibri"/>
          <w:color w:val="414042"/>
        </w:rPr>
        <w:t>R17.224 million) mainly due to continued investment in Business Banking, and higher impairments following</w:t>
      </w:r>
      <w:r>
        <w:rPr>
          <w:rFonts w:ascii="Calibri" w:hAnsi="Calibri" w:cs="Calibri"/>
          <w:color w:val="414042"/>
        </w:rPr>
        <w:t xml:space="preserve"> </w:t>
      </w:r>
      <w:r w:rsidRPr="00237BBF">
        <w:rPr>
          <w:rFonts w:ascii="Calibri" w:hAnsi="Calibri" w:cs="Calibri"/>
          <w:color w:val="414042"/>
        </w:rPr>
        <w:t>strong loan growth. Total Income grew 22.83% to R164.159 million (2021: R133.645 million) primarily from</w:t>
      </w:r>
      <w:r>
        <w:rPr>
          <w:rFonts w:ascii="Calibri" w:hAnsi="Calibri" w:cs="Calibri"/>
          <w:color w:val="414042"/>
        </w:rPr>
        <w:t xml:space="preserve"> </w:t>
      </w:r>
      <w:r w:rsidRPr="00237BBF">
        <w:rPr>
          <w:rFonts w:ascii="Calibri" w:hAnsi="Calibri" w:cs="Calibri"/>
          <w:color w:val="414042"/>
        </w:rPr>
        <w:t xml:space="preserve">strong growth in the Commercial Banking (Trade and Debtor Finance, </w:t>
      </w:r>
      <w:proofErr w:type="spellStart"/>
      <w:r w:rsidRPr="00237BBF">
        <w:rPr>
          <w:rFonts w:ascii="Calibri" w:hAnsi="Calibri" w:cs="Calibri"/>
          <w:color w:val="414042"/>
        </w:rPr>
        <w:t>Specialised</w:t>
      </w:r>
      <w:proofErr w:type="spellEnd"/>
      <w:r w:rsidRPr="00237BBF">
        <w:rPr>
          <w:rFonts w:ascii="Calibri" w:hAnsi="Calibri" w:cs="Calibri"/>
          <w:color w:val="414042"/>
        </w:rPr>
        <w:t xml:space="preserve"> Lending and Commercial</w:t>
      </w:r>
      <w:r>
        <w:rPr>
          <w:rFonts w:ascii="Calibri" w:hAnsi="Calibri" w:cs="Calibri"/>
          <w:color w:val="414042"/>
        </w:rPr>
        <w:t xml:space="preserve"> </w:t>
      </w:r>
      <w:r w:rsidRPr="00237BBF">
        <w:rPr>
          <w:rFonts w:ascii="Calibri" w:hAnsi="Calibri" w:cs="Calibri"/>
          <w:color w:val="414042"/>
        </w:rPr>
        <w:t>Property Finance) area, while Business Banking income remained flat.</w:t>
      </w:r>
    </w:p>
    <w:p w14:paraId="484D0ADB" w14:textId="2B001342" w:rsidR="00237BBF" w:rsidRDefault="00237BBF" w:rsidP="00CD607D">
      <w:pPr>
        <w:spacing w:line="312" w:lineRule="auto"/>
        <w:ind w:right="-22"/>
        <w:jc w:val="both"/>
        <w:rPr>
          <w:rFonts w:ascii="Calibri" w:hAnsi="Calibri" w:cs="Calibri"/>
          <w:color w:val="414042"/>
        </w:rPr>
      </w:pPr>
    </w:p>
    <w:p w14:paraId="3CEFA27E" w14:textId="3D9E497E" w:rsidR="00A11B29" w:rsidRDefault="00A11B29" w:rsidP="00CD607D">
      <w:pPr>
        <w:spacing w:line="312" w:lineRule="auto"/>
        <w:ind w:right="-22"/>
        <w:jc w:val="both"/>
        <w:rPr>
          <w:rFonts w:ascii="Calibri" w:hAnsi="Calibri" w:cs="Calibri"/>
          <w:color w:val="414042"/>
        </w:rPr>
      </w:pPr>
      <w:r w:rsidRPr="00A11B29">
        <w:rPr>
          <w:rFonts w:ascii="Calibri" w:hAnsi="Calibri" w:cs="Calibri"/>
          <w:color w:val="414042"/>
        </w:rPr>
        <w:t>Sasfin Wealth saw an increase in operating profit of 365.44% to R58.827 million (2021: R12.639 million), due</w:t>
      </w:r>
      <w:r>
        <w:rPr>
          <w:rFonts w:ascii="Calibri" w:hAnsi="Calibri" w:cs="Calibri"/>
          <w:color w:val="414042"/>
        </w:rPr>
        <w:t xml:space="preserve"> </w:t>
      </w:r>
      <w:r w:rsidRPr="00A11B29">
        <w:rPr>
          <w:rFonts w:ascii="Calibri" w:hAnsi="Calibri" w:cs="Calibri"/>
          <w:color w:val="414042"/>
        </w:rPr>
        <w:t>to solid income growth and the effect of a once-off operational loss in the comparative period. Assets under</w:t>
      </w:r>
      <w:r>
        <w:rPr>
          <w:rFonts w:ascii="Calibri" w:hAnsi="Calibri" w:cs="Calibri"/>
          <w:color w:val="414042"/>
        </w:rPr>
        <w:t xml:space="preserve"> </w:t>
      </w:r>
      <w:r w:rsidRPr="00A11B29">
        <w:rPr>
          <w:rFonts w:ascii="Calibri" w:hAnsi="Calibri" w:cs="Calibri"/>
          <w:color w:val="414042"/>
        </w:rPr>
        <w:t>advice and management (collectively referred to as AUM) remained steady at R62.836 billion</w:t>
      </w:r>
      <w:r>
        <w:rPr>
          <w:rFonts w:ascii="Calibri" w:hAnsi="Calibri" w:cs="Calibri"/>
          <w:color w:val="414042"/>
        </w:rPr>
        <w:t xml:space="preserve"> </w:t>
      </w:r>
      <w:r w:rsidRPr="00A11B29">
        <w:rPr>
          <w:rFonts w:ascii="Calibri" w:hAnsi="Calibri" w:cs="Calibri"/>
          <w:color w:val="414042"/>
        </w:rPr>
        <w:t>(2021: R62.250 billion).</w:t>
      </w:r>
      <w:r>
        <w:rPr>
          <w:rFonts w:ascii="Calibri" w:hAnsi="Calibri" w:cs="Calibri"/>
          <w:color w:val="414042"/>
        </w:rPr>
        <w:t xml:space="preserve"> </w:t>
      </w:r>
      <w:r w:rsidRPr="00A11B29">
        <w:rPr>
          <w:rFonts w:ascii="Calibri" w:hAnsi="Calibri" w:cs="Calibri"/>
          <w:color w:val="414042"/>
        </w:rPr>
        <w:t>Foreign assets continue to comprise a substantial part of total AUM at 22% (2021: 25%). Sasfin Wealth’s</w:t>
      </w:r>
      <w:r>
        <w:rPr>
          <w:rFonts w:ascii="Calibri" w:hAnsi="Calibri" w:cs="Calibri"/>
          <w:color w:val="414042"/>
        </w:rPr>
        <w:t xml:space="preserve"> </w:t>
      </w:r>
      <w:r w:rsidRPr="00A11B29">
        <w:rPr>
          <w:rFonts w:ascii="Calibri" w:hAnsi="Calibri" w:cs="Calibri"/>
          <w:color w:val="414042"/>
        </w:rPr>
        <w:t>strong investment performance and distribution capability, continue to drive strong net inflows, particularly</w:t>
      </w:r>
      <w:r>
        <w:rPr>
          <w:rFonts w:ascii="Calibri" w:hAnsi="Calibri" w:cs="Calibri"/>
          <w:color w:val="414042"/>
        </w:rPr>
        <w:t xml:space="preserve"> </w:t>
      </w:r>
      <w:r w:rsidRPr="00A11B29">
        <w:rPr>
          <w:rFonts w:ascii="Calibri" w:hAnsi="Calibri" w:cs="Calibri"/>
          <w:color w:val="414042"/>
        </w:rPr>
        <w:t>in Sasfin Asset Managers.</w:t>
      </w:r>
    </w:p>
    <w:p w14:paraId="44AF43A2" w14:textId="77777777" w:rsidR="00237BBF" w:rsidRPr="0017670C" w:rsidRDefault="00237BBF" w:rsidP="00CD607D">
      <w:pPr>
        <w:spacing w:line="312" w:lineRule="auto"/>
        <w:ind w:right="-22"/>
        <w:jc w:val="both"/>
        <w:rPr>
          <w:rFonts w:ascii="Calibri" w:hAnsi="Calibri" w:cs="Calibri"/>
          <w:color w:val="414042"/>
        </w:rPr>
      </w:pPr>
    </w:p>
    <w:p w14:paraId="5A908586" w14:textId="77777777" w:rsidR="00D5279A" w:rsidRDefault="00C6280D" w:rsidP="00CD607D">
      <w:pPr>
        <w:spacing w:line="312" w:lineRule="auto"/>
        <w:ind w:right="-22"/>
        <w:jc w:val="both"/>
        <w:rPr>
          <w:rFonts w:ascii="Calibri" w:hAnsi="Calibri" w:cs="Calibri"/>
          <w:b/>
          <w:bCs/>
          <w:color w:val="414042"/>
        </w:rPr>
      </w:pPr>
      <w:r>
        <w:rPr>
          <w:rFonts w:ascii="Calibri" w:hAnsi="Calibri" w:cs="Calibri"/>
          <w:b/>
          <w:bCs/>
          <w:color w:val="414042"/>
        </w:rPr>
        <w:t>Prospects</w:t>
      </w:r>
    </w:p>
    <w:p w14:paraId="1A04B5F2" w14:textId="3E38125F" w:rsidR="00EF7516" w:rsidRPr="00DC0FF7" w:rsidRDefault="00EF7516" w:rsidP="00CD607D">
      <w:pPr>
        <w:spacing w:line="312" w:lineRule="auto"/>
        <w:ind w:right="-22"/>
        <w:jc w:val="both"/>
        <w:rPr>
          <w:rFonts w:ascii="Calibri" w:hAnsi="Calibri" w:cs="Calibri"/>
          <w:color w:val="414042"/>
        </w:rPr>
      </w:pPr>
      <w:r w:rsidRPr="00DC0FF7">
        <w:rPr>
          <w:rFonts w:ascii="Calibri" w:hAnsi="Calibri" w:cs="Calibri"/>
          <w:color w:val="414042"/>
        </w:rPr>
        <w:t>Given the changing economic and competitive landscape, Sasfin is in the process of revisiting its strategy to drive the following key outcomes:</w:t>
      </w:r>
    </w:p>
    <w:p w14:paraId="082590FF" w14:textId="77777777" w:rsidR="00EF7516" w:rsidRPr="00DC0FF7" w:rsidRDefault="00EF7516" w:rsidP="00CD607D">
      <w:pPr>
        <w:spacing w:line="312" w:lineRule="auto"/>
        <w:ind w:right="-22"/>
        <w:jc w:val="both"/>
        <w:rPr>
          <w:rFonts w:ascii="Calibri" w:hAnsi="Calibri" w:cs="Calibri"/>
          <w:color w:val="414042"/>
        </w:rPr>
      </w:pPr>
    </w:p>
    <w:p w14:paraId="38BC2F71" w14:textId="057A387A" w:rsidR="00EF7516" w:rsidRPr="00DC0FF7" w:rsidRDefault="00EF7516" w:rsidP="00CD607D">
      <w:pPr>
        <w:spacing w:line="312" w:lineRule="auto"/>
        <w:ind w:left="284" w:right="-22" w:hanging="284"/>
        <w:jc w:val="both"/>
        <w:rPr>
          <w:rFonts w:ascii="Calibri" w:hAnsi="Calibri" w:cs="Calibri"/>
          <w:color w:val="414042"/>
        </w:rPr>
      </w:pPr>
      <w:r w:rsidRPr="00DC0FF7">
        <w:rPr>
          <w:rFonts w:ascii="Calibri" w:hAnsi="Calibri" w:cs="Calibri"/>
          <w:color w:val="414042"/>
        </w:rPr>
        <w:t xml:space="preserve">1. Living our purpose: Sasfin is committed to contributing to our society and, for the first time, became a </w:t>
      </w:r>
      <w:r w:rsidRPr="00DC0FF7">
        <w:rPr>
          <w:rFonts w:ascii="Calibri" w:hAnsi="Calibri" w:cs="Calibri"/>
          <w:color w:val="414042"/>
        </w:rPr>
        <w:lastRenderedPageBreak/>
        <w:t>level 1 B-BBEE contributor during the period. Sasfin Asset Managers recently announced a</w:t>
      </w:r>
      <w:r w:rsidR="00DC0FF7" w:rsidRPr="00DC0FF7">
        <w:rPr>
          <w:rFonts w:ascii="Calibri" w:hAnsi="Calibri" w:cs="Calibri"/>
          <w:color w:val="414042"/>
        </w:rPr>
        <w:t xml:space="preserve"> </w:t>
      </w:r>
      <w:r w:rsidRPr="00DC0FF7">
        <w:rPr>
          <w:rFonts w:ascii="Calibri" w:hAnsi="Calibri" w:cs="Calibri"/>
          <w:color w:val="414042"/>
        </w:rPr>
        <w:t>partnership</w:t>
      </w:r>
      <w:r w:rsidR="00DC0FF7" w:rsidRPr="00DC0FF7">
        <w:rPr>
          <w:rFonts w:ascii="Calibri" w:hAnsi="Calibri" w:cs="Calibri"/>
          <w:color w:val="414042"/>
        </w:rPr>
        <w:t xml:space="preserve"> </w:t>
      </w:r>
      <w:r w:rsidRPr="00DC0FF7">
        <w:rPr>
          <w:rFonts w:ascii="Calibri" w:hAnsi="Calibri" w:cs="Calibri"/>
          <w:color w:val="414042"/>
        </w:rPr>
        <w:t>with the Jobs Fund of National Treasury, which will enable Sasfin to provide funding to businesses that</w:t>
      </w:r>
      <w:r w:rsidR="00DC0FF7" w:rsidRPr="00DC0FF7">
        <w:rPr>
          <w:rFonts w:ascii="Calibri" w:hAnsi="Calibri" w:cs="Calibri"/>
          <w:color w:val="414042"/>
        </w:rPr>
        <w:t xml:space="preserve"> </w:t>
      </w:r>
      <w:r w:rsidRPr="00DC0FF7">
        <w:rPr>
          <w:rFonts w:ascii="Calibri" w:hAnsi="Calibri" w:cs="Calibri"/>
          <w:color w:val="414042"/>
        </w:rPr>
        <w:t>can demonstrate job creation. This follows the successful ongoing partnership with the Dutch</w:t>
      </w:r>
      <w:r w:rsidR="00DC0FF7" w:rsidRPr="00DC0FF7">
        <w:rPr>
          <w:rFonts w:ascii="Calibri" w:hAnsi="Calibri" w:cs="Calibri"/>
          <w:color w:val="414042"/>
        </w:rPr>
        <w:t xml:space="preserve"> </w:t>
      </w:r>
      <w:r w:rsidRPr="00DC0FF7">
        <w:rPr>
          <w:rFonts w:ascii="Calibri" w:hAnsi="Calibri" w:cs="Calibri"/>
          <w:color w:val="414042"/>
        </w:rPr>
        <w:t xml:space="preserve">Entrepreneurial Development Bank (FMO), where over </w:t>
      </w:r>
      <w:proofErr w:type="spellStart"/>
      <w:r w:rsidRPr="00DC0FF7">
        <w:rPr>
          <w:rFonts w:ascii="Calibri" w:hAnsi="Calibri" w:cs="Calibri"/>
          <w:color w:val="414042"/>
        </w:rPr>
        <w:t>R400</w:t>
      </w:r>
      <w:proofErr w:type="spellEnd"/>
      <w:r w:rsidRPr="00DC0FF7">
        <w:rPr>
          <w:rFonts w:ascii="Calibri" w:hAnsi="Calibri" w:cs="Calibri"/>
          <w:color w:val="414042"/>
        </w:rPr>
        <w:t xml:space="preserve"> </w:t>
      </w:r>
      <w:proofErr w:type="spellStart"/>
      <w:r w:rsidRPr="00DC0FF7">
        <w:rPr>
          <w:rFonts w:ascii="Calibri" w:hAnsi="Calibri" w:cs="Calibri"/>
          <w:color w:val="414042"/>
        </w:rPr>
        <w:t>million</w:t>
      </w:r>
      <w:proofErr w:type="spellEnd"/>
      <w:r w:rsidRPr="00DC0FF7">
        <w:rPr>
          <w:rFonts w:ascii="Calibri" w:hAnsi="Calibri" w:cs="Calibri"/>
          <w:color w:val="414042"/>
        </w:rPr>
        <w:t xml:space="preserve"> of funding has been provided to</w:t>
      </w:r>
      <w:r w:rsidR="00DC0FF7" w:rsidRPr="00DC0FF7">
        <w:rPr>
          <w:rFonts w:ascii="Calibri" w:hAnsi="Calibri" w:cs="Calibri"/>
          <w:color w:val="414042"/>
        </w:rPr>
        <w:t xml:space="preserve"> </w:t>
      </w:r>
      <w:r w:rsidRPr="00DC0FF7">
        <w:rPr>
          <w:rFonts w:ascii="Calibri" w:hAnsi="Calibri" w:cs="Calibri"/>
          <w:color w:val="414042"/>
        </w:rPr>
        <w:t>youth, women and Covid-19 impacted businesses in the last twenty-four months, through our</w:t>
      </w:r>
      <w:r w:rsidR="00DC0FF7" w:rsidRPr="00DC0FF7">
        <w:rPr>
          <w:rFonts w:ascii="Calibri" w:hAnsi="Calibri" w:cs="Calibri"/>
          <w:color w:val="414042"/>
        </w:rPr>
        <w:t xml:space="preserve"> </w:t>
      </w:r>
      <w:r w:rsidRPr="00DC0FF7">
        <w:rPr>
          <w:rFonts w:ascii="Calibri" w:hAnsi="Calibri" w:cs="Calibri"/>
          <w:color w:val="414042"/>
        </w:rPr>
        <w:t xml:space="preserve">Nasira </w:t>
      </w:r>
      <w:proofErr w:type="spellStart"/>
      <w:r w:rsidRPr="00DC0FF7">
        <w:rPr>
          <w:rFonts w:ascii="Calibri" w:hAnsi="Calibri" w:cs="Calibri"/>
          <w:color w:val="414042"/>
        </w:rPr>
        <w:t>programme</w:t>
      </w:r>
      <w:proofErr w:type="spellEnd"/>
      <w:r w:rsidRPr="00DC0FF7">
        <w:rPr>
          <w:rFonts w:ascii="Calibri" w:hAnsi="Calibri" w:cs="Calibri"/>
          <w:color w:val="414042"/>
        </w:rPr>
        <w:t>.</w:t>
      </w:r>
    </w:p>
    <w:p w14:paraId="257D55FD" w14:textId="58BF6C23" w:rsidR="00EF7516" w:rsidRPr="00DC0FF7" w:rsidRDefault="00EF7516" w:rsidP="00CD607D">
      <w:pPr>
        <w:spacing w:line="312" w:lineRule="auto"/>
        <w:ind w:left="284" w:right="-22" w:hanging="284"/>
        <w:jc w:val="both"/>
        <w:rPr>
          <w:rFonts w:ascii="Calibri" w:hAnsi="Calibri" w:cs="Calibri"/>
          <w:color w:val="414042"/>
        </w:rPr>
      </w:pPr>
      <w:r w:rsidRPr="00DC0FF7">
        <w:rPr>
          <w:rFonts w:ascii="Calibri" w:hAnsi="Calibri" w:cs="Calibri"/>
          <w:color w:val="414042"/>
        </w:rPr>
        <w:t>2. Backing our Champions: The Group is conducting a thorough strategic review, with the intent of</w:t>
      </w:r>
      <w:r w:rsidR="00DC0FF7" w:rsidRPr="00DC0FF7">
        <w:rPr>
          <w:rFonts w:ascii="Calibri" w:hAnsi="Calibri" w:cs="Calibri"/>
          <w:color w:val="414042"/>
        </w:rPr>
        <w:t xml:space="preserve"> </w:t>
      </w:r>
      <w:r w:rsidRPr="00DC0FF7">
        <w:rPr>
          <w:rFonts w:ascii="Calibri" w:hAnsi="Calibri" w:cs="Calibri"/>
          <w:color w:val="414042"/>
        </w:rPr>
        <w:t>focusing on strengthening and unlocking the potential of its core businesses, where our strong</w:t>
      </w:r>
      <w:r w:rsidR="00DC0FF7" w:rsidRPr="00DC0FF7">
        <w:rPr>
          <w:rFonts w:ascii="Calibri" w:hAnsi="Calibri" w:cs="Calibri"/>
          <w:color w:val="414042"/>
        </w:rPr>
        <w:t xml:space="preserve"> </w:t>
      </w:r>
      <w:r w:rsidRPr="00DC0FF7">
        <w:rPr>
          <w:rFonts w:ascii="Calibri" w:hAnsi="Calibri" w:cs="Calibri"/>
          <w:color w:val="414042"/>
        </w:rPr>
        <w:t>competitive capabilities reside.</w:t>
      </w:r>
    </w:p>
    <w:p w14:paraId="5A90858D" w14:textId="7C81678E" w:rsidR="00D5279A" w:rsidRPr="00DC0FF7" w:rsidRDefault="00EF7516" w:rsidP="00CD607D">
      <w:pPr>
        <w:spacing w:line="312" w:lineRule="auto"/>
        <w:ind w:left="284" w:right="-22" w:hanging="284"/>
        <w:jc w:val="both"/>
        <w:rPr>
          <w:rFonts w:ascii="Calibri" w:hAnsi="Calibri" w:cs="Calibri"/>
          <w:color w:val="414042"/>
        </w:rPr>
      </w:pPr>
      <w:r w:rsidRPr="00DC0FF7">
        <w:rPr>
          <w:rFonts w:ascii="Calibri" w:hAnsi="Calibri" w:cs="Calibri"/>
          <w:color w:val="414042"/>
        </w:rPr>
        <w:t>3. Supporting our clients: South Africa has not been an easy environment for medium-sized businesses to</w:t>
      </w:r>
      <w:r w:rsidR="00DC0FF7" w:rsidRPr="00DC0FF7">
        <w:rPr>
          <w:rFonts w:ascii="Calibri" w:hAnsi="Calibri" w:cs="Calibri"/>
          <w:color w:val="414042"/>
        </w:rPr>
        <w:t xml:space="preserve"> </w:t>
      </w:r>
      <w:r w:rsidRPr="00DC0FF7">
        <w:rPr>
          <w:rFonts w:ascii="Calibri" w:hAnsi="Calibri" w:cs="Calibri"/>
          <w:color w:val="414042"/>
        </w:rPr>
        <w:t>operate in, over the past few years. Despite the economic challenges, most of our clients are</w:t>
      </w:r>
      <w:r w:rsidR="00DC0FF7" w:rsidRPr="00DC0FF7">
        <w:rPr>
          <w:rFonts w:ascii="Calibri" w:hAnsi="Calibri" w:cs="Calibri"/>
          <w:color w:val="414042"/>
        </w:rPr>
        <w:t xml:space="preserve"> </w:t>
      </w:r>
      <w:r w:rsidRPr="00DC0FF7">
        <w:rPr>
          <w:rFonts w:ascii="Calibri" w:hAnsi="Calibri" w:cs="Calibri"/>
          <w:color w:val="414042"/>
        </w:rPr>
        <w:t>performing exceptionally well, with 86% of our book in Stage 1. In the coming months we will continue</w:t>
      </w:r>
      <w:r w:rsidR="00DC0FF7" w:rsidRPr="00DC0FF7">
        <w:rPr>
          <w:rFonts w:ascii="Calibri" w:hAnsi="Calibri" w:cs="Calibri"/>
          <w:color w:val="414042"/>
        </w:rPr>
        <w:t xml:space="preserve"> </w:t>
      </w:r>
      <w:r w:rsidRPr="00DC0FF7">
        <w:rPr>
          <w:rFonts w:ascii="Calibri" w:hAnsi="Calibri" w:cs="Calibri"/>
          <w:color w:val="414042"/>
        </w:rPr>
        <w:t xml:space="preserve">to work closely with clients who are experiencing cashflow pressures and will </w:t>
      </w:r>
      <w:proofErr w:type="spellStart"/>
      <w:r w:rsidRPr="00DC0FF7">
        <w:rPr>
          <w:rFonts w:ascii="Calibri" w:hAnsi="Calibri" w:cs="Calibri"/>
          <w:color w:val="414042"/>
        </w:rPr>
        <w:t>endeavour</w:t>
      </w:r>
      <w:proofErr w:type="spellEnd"/>
      <w:r w:rsidRPr="00DC0FF7">
        <w:rPr>
          <w:rFonts w:ascii="Calibri" w:hAnsi="Calibri" w:cs="Calibri"/>
          <w:color w:val="414042"/>
        </w:rPr>
        <w:t xml:space="preserve"> to ensure that</w:t>
      </w:r>
      <w:r w:rsidR="00DC0FF7" w:rsidRPr="00DC0FF7">
        <w:rPr>
          <w:rFonts w:ascii="Calibri" w:hAnsi="Calibri" w:cs="Calibri"/>
          <w:color w:val="414042"/>
        </w:rPr>
        <w:t xml:space="preserve"> </w:t>
      </w:r>
      <w:r w:rsidRPr="00DC0FF7">
        <w:rPr>
          <w:rFonts w:ascii="Calibri" w:hAnsi="Calibri" w:cs="Calibri"/>
          <w:color w:val="414042"/>
        </w:rPr>
        <w:t>we have the on and off-balance sheet funding to support continued demand for credit.</w:t>
      </w:r>
    </w:p>
    <w:p w14:paraId="0B6EA53B" w14:textId="77777777" w:rsidR="00DC0FF7" w:rsidRDefault="00DC0FF7" w:rsidP="00CD607D">
      <w:pPr>
        <w:spacing w:line="312" w:lineRule="auto"/>
        <w:ind w:right="-22"/>
        <w:jc w:val="both"/>
        <w:rPr>
          <w:rFonts w:ascii="Calibri" w:hAnsi="Calibri" w:cs="Calibri"/>
          <w:b/>
          <w:bCs/>
          <w:color w:val="414042"/>
        </w:rPr>
      </w:pPr>
    </w:p>
    <w:p w14:paraId="5A90858E" w14:textId="77777777" w:rsidR="00D5279A" w:rsidRDefault="00C6280D" w:rsidP="00CD607D">
      <w:pPr>
        <w:spacing w:line="312" w:lineRule="auto"/>
        <w:ind w:right="-22"/>
        <w:jc w:val="both"/>
        <w:rPr>
          <w:rFonts w:ascii="Calibri" w:hAnsi="Calibri" w:cs="Calibri"/>
          <w:b/>
          <w:bCs/>
          <w:color w:val="414042"/>
        </w:rPr>
      </w:pPr>
      <w:r>
        <w:rPr>
          <w:rFonts w:ascii="Calibri" w:hAnsi="Calibri" w:cs="Calibri"/>
          <w:b/>
          <w:bCs/>
          <w:color w:val="414042"/>
        </w:rPr>
        <w:t>Conclusion</w:t>
      </w:r>
    </w:p>
    <w:p w14:paraId="61A194AD" w14:textId="77777777" w:rsidR="00CD607D" w:rsidRPr="00CD607D" w:rsidRDefault="00CD607D" w:rsidP="00CD607D">
      <w:pPr>
        <w:pStyle w:val="BodyText"/>
        <w:spacing w:line="312" w:lineRule="auto"/>
        <w:ind w:right="-22"/>
        <w:jc w:val="both"/>
        <w:rPr>
          <w:rFonts w:ascii="Calibri" w:hAnsi="Calibri" w:cs="Calibri"/>
          <w:color w:val="414042"/>
          <w:sz w:val="22"/>
          <w:szCs w:val="22"/>
        </w:rPr>
      </w:pPr>
      <w:bookmarkStart w:id="0" w:name="_Hlk33724536"/>
      <w:r w:rsidRPr="00CD607D">
        <w:rPr>
          <w:rFonts w:ascii="Calibri" w:hAnsi="Calibri" w:cs="Calibri"/>
          <w:color w:val="414042"/>
          <w:sz w:val="22"/>
          <w:szCs w:val="22"/>
        </w:rPr>
        <w:t>Since June 2022 we have seen strong growth in our loan book and total funding and excellent continued</w:t>
      </w:r>
    </w:p>
    <w:p w14:paraId="0ED1A2E4" w14:textId="77777777" w:rsidR="00CD607D" w:rsidRPr="00CD607D" w:rsidRDefault="00CD607D" w:rsidP="00CD607D">
      <w:pPr>
        <w:pStyle w:val="BodyText"/>
        <w:spacing w:line="312" w:lineRule="auto"/>
        <w:ind w:right="-22"/>
        <w:jc w:val="both"/>
        <w:rPr>
          <w:rFonts w:ascii="Calibri" w:hAnsi="Calibri" w:cs="Calibri"/>
          <w:color w:val="414042"/>
          <w:sz w:val="22"/>
          <w:szCs w:val="22"/>
        </w:rPr>
      </w:pPr>
      <w:r w:rsidRPr="00CD607D">
        <w:rPr>
          <w:rFonts w:ascii="Calibri" w:hAnsi="Calibri" w:cs="Calibri"/>
          <w:color w:val="414042"/>
          <w:sz w:val="22"/>
          <w:szCs w:val="22"/>
        </w:rPr>
        <w:t>growth in Sasfin Wealth. While the tough and uncertain economic conditions are likely to persist for some</w:t>
      </w:r>
    </w:p>
    <w:p w14:paraId="1B62C9D7" w14:textId="77777777" w:rsidR="00CD607D" w:rsidRPr="00CD607D" w:rsidRDefault="00CD607D" w:rsidP="00CD607D">
      <w:pPr>
        <w:pStyle w:val="BodyText"/>
        <w:spacing w:line="312" w:lineRule="auto"/>
        <w:ind w:right="-22"/>
        <w:jc w:val="both"/>
        <w:rPr>
          <w:rFonts w:ascii="Calibri" w:hAnsi="Calibri" w:cs="Calibri"/>
          <w:color w:val="414042"/>
          <w:sz w:val="22"/>
          <w:szCs w:val="22"/>
        </w:rPr>
      </w:pPr>
      <w:r w:rsidRPr="00CD607D">
        <w:rPr>
          <w:rFonts w:ascii="Calibri" w:hAnsi="Calibri" w:cs="Calibri"/>
          <w:color w:val="414042"/>
          <w:sz w:val="22"/>
          <w:szCs w:val="22"/>
        </w:rPr>
        <w:t>time, we are committed to supporting our core client base with our unique and competitive product and</w:t>
      </w:r>
    </w:p>
    <w:p w14:paraId="5A908591" w14:textId="77B40C01" w:rsidR="00D5279A" w:rsidRDefault="00CD607D" w:rsidP="00CD607D">
      <w:pPr>
        <w:pStyle w:val="BodyText"/>
        <w:spacing w:line="312" w:lineRule="auto"/>
        <w:ind w:right="-22"/>
        <w:jc w:val="both"/>
        <w:rPr>
          <w:rFonts w:ascii="Calibri" w:hAnsi="Calibri" w:cs="Calibri"/>
          <w:color w:val="414042"/>
          <w:sz w:val="22"/>
          <w:szCs w:val="22"/>
        </w:rPr>
      </w:pPr>
      <w:r w:rsidRPr="00CD607D">
        <w:rPr>
          <w:rFonts w:ascii="Calibri" w:hAnsi="Calibri" w:cs="Calibri"/>
          <w:color w:val="414042"/>
          <w:sz w:val="22"/>
          <w:szCs w:val="22"/>
        </w:rPr>
        <w:t>service offering, underpinned by robust and responsible lending practices, while ensuring we strengthen</w:t>
      </w:r>
      <w:r>
        <w:rPr>
          <w:rFonts w:ascii="Calibri" w:hAnsi="Calibri" w:cs="Calibri"/>
          <w:color w:val="414042"/>
          <w:sz w:val="22"/>
          <w:szCs w:val="22"/>
        </w:rPr>
        <w:t xml:space="preserve"> </w:t>
      </w:r>
      <w:r w:rsidRPr="00CD607D">
        <w:rPr>
          <w:rFonts w:ascii="Calibri" w:hAnsi="Calibri" w:cs="Calibri"/>
          <w:color w:val="414042"/>
          <w:sz w:val="22"/>
          <w:szCs w:val="22"/>
        </w:rPr>
        <w:t>our compliance and operating environment.</w:t>
      </w:r>
    </w:p>
    <w:bookmarkEnd w:id="0"/>
    <w:p w14:paraId="5A908592" w14:textId="77777777" w:rsidR="00D5279A" w:rsidRDefault="00D5279A">
      <w:pPr>
        <w:pStyle w:val="BodyText"/>
        <w:spacing w:line="312" w:lineRule="auto"/>
        <w:ind w:right="-22"/>
        <w:rPr>
          <w:rFonts w:ascii="Calibri" w:hAnsi="Calibri" w:cs="Calibri"/>
          <w:color w:val="414042"/>
          <w:sz w:val="22"/>
          <w:szCs w:val="22"/>
        </w:rPr>
      </w:pPr>
    </w:p>
    <w:p w14:paraId="5A908593" w14:textId="77777777" w:rsidR="00D5279A" w:rsidRDefault="00C6280D">
      <w:pPr>
        <w:pStyle w:val="HTMLPreformatted"/>
        <w:spacing w:line="312" w:lineRule="auto"/>
        <w:ind w:right="-22"/>
        <w:rPr>
          <w:rFonts w:ascii="Calibri" w:eastAsia="Avenir-Light" w:hAnsi="Calibri" w:cs="Calibri"/>
          <w:b/>
          <w:bCs/>
          <w:color w:val="414042"/>
          <w:sz w:val="22"/>
          <w:szCs w:val="22"/>
          <w:lang w:val="en-US" w:eastAsia="en-US" w:bidi="en-US"/>
        </w:rPr>
      </w:pPr>
      <w:r>
        <w:rPr>
          <w:rFonts w:ascii="Calibri" w:eastAsia="Avenir-Light" w:hAnsi="Calibri" w:cs="Calibri"/>
          <w:b/>
          <w:bCs/>
          <w:color w:val="414042"/>
          <w:sz w:val="22"/>
          <w:szCs w:val="22"/>
          <w:lang w:val="en-US" w:eastAsia="en-US" w:bidi="en-US"/>
        </w:rPr>
        <w:t>Full Announcement</w:t>
      </w:r>
    </w:p>
    <w:p w14:paraId="5A908594" w14:textId="77777777" w:rsidR="00D5279A" w:rsidRDefault="00D5279A">
      <w:pPr>
        <w:pStyle w:val="HTMLPreformatted"/>
        <w:spacing w:line="312" w:lineRule="auto"/>
        <w:ind w:right="-22"/>
        <w:rPr>
          <w:rFonts w:ascii="Calibri" w:eastAsia="Avenir-Light" w:hAnsi="Calibri" w:cs="Calibri"/>
          <w:color w:val="414042"/>
          <w:sz w:val="22"/>
          <w:szCs w:val="22"/>
          <w:lang w:val="en-US" w:eastAsia="en-US" w:bidi="en-US"/>
        </w:rPr>
      </w:pPr>
    </w:p>
    <w:p w14:paraId="5A908595" w14:textId="77777777" w:rsidR="00D5279A" w:rsidRDefault="00C6280D">
      <w:pPr>
        <w:pStyle w:val="HTMLPreformatted"/>
        <w:spacing w:line="312" w:lineRule="auto"/>
        <w:ind w:right="-22"/>
        <w:rPr>
          <w:rFonts w:ascii="Calibri" w:eastAsia="Avenir-Light" w:hAnsi="Calibri" w:cs="Calibri"/>
          <w:color w:val="414042"/>
          <w:sz w:val="22"/>
          <w:szCs w:val="22"/>
          <w:lang w:val="en-US" w:eastAsia="en-US" w:bidi="en-US"/>
        </w:rPr>
      </w:pPr>
      <w:r>
        <w:rPr>
          <w:rFonts w:ascii="Calibri" w:eastAsia="Avenir-Light" w:hAnsi="Calibri" w:cs="Calibri"/>
          <w:color w:val="414042"/>
          <w:sz w:val="22"/>
          <w:szCs w:val="22"/>
          <w:lang w:val="en-US" w:eastAsia="en-US" w:bidi="en-US"/>
        </w:rPr>
        <w:t>This short-form announcement is the responsibility of the Directors of the Company and is a summary of the information in the full announcement and does not contain full or complete details. The full announcement is available for viewing on the following websites:</w:t>
      </w:r>
    </w:p>
    <w:p w14:paraId="5A908596" w14:textId="77777777" w:rsidR="00D5279A" w:rsidRDefault="00D5279A">
      <w:pPr>
        <w:pStyle w:val="HTMLPreformatted"/>
        <w:spacing w:line="312" w:lineRule="auto"/>
        <w:ind w:right="-22"/>
        <w:rPr>
          <w:rFonts w:ascii="Calibri" w:eastAsia="Avenir-Light" w:hAnsi="Calibri" w:cs="Calibri"/>
          <w:color w:val="414042"/>
          <w:sz w:val="22"/>
          <w:szCs w:val="22"/>
          <w:lang w:val="en-US" w:eastAsia="en-US" w:bidi="en-US"/>
        </w:rPr>
      </w:pPr>
    </w:p>
    <w:p w14:paraId="5A908597" w14:textId="77777777" w:rsidR="00D5279A" w:rsidRDefault="00C6280D">
      <w:pPr>
        <w:pStyle w:val="HTMLPreformatted"/>
        <w:spacing w:line="312" w:lineRule="auto"/>
        <w:ind w:right="-22"/>
      </w:pPr>
      <w:r>
        <w:rPr>
          <w:rFonts w:ascii="Calibri" w:eastAsia="Avenir-Light" w:hAnsi="Calibri" w:cs="Calibri"/>
          <w:color w:val="414042"/>
          <w:sz w:val="22"/>
          <w:szCs w:val="22"/>
          <w:lang w:val="en-US" w:eastAsia="en-US" w:bidi="en-US"/>
        </w:rPr>
        <w:t xml:space="preserve">Company’s website: </w:t>
      </w:r>
      <w:hyperlink r:id="rId8" w:anchor="results-and-reports" w:history="1">
        <w:r>
          <w:rPr>
            <w:rStyle w:val="Hyperlink"/>
            <w:rFonts w:ascii="Calibri" w:eastAsia="Avenir-Light" w:hAnsi="Calibri" w:cs="Calibri"/>
            <w:sz w:val="22"/>
            <w:szCs w:val="22"/>
            <w:lang w:val="en-US" w:eastAsia="en-US" w:bidi="en-US"/>
          </w:rPr>
          <w:t>https://www.sasfin.com/investor-relations/#results-and-reports</w:t>
        </w:r>
      </w:hyperlink>
    </w:p>
    <w:p w14:paraId="5A908598" w14:textId="77777777" w:rsidR="00D5279A" w:rsidRDefault="00D5279A">
      <w:pPr>
        <w:pStyle w:val="HTMLPreformatted"/>
        <w:spacing w:line="312" w:lineRule="auto"/>
        <w:ind w:right="-22"/>
        <w:rPr>
          <w:rFonts w:ascii="Calibri" w:eastAsia="Avenir-Light" w:hAnsi="Calibri" w:cs="Calibri"/>
          <w:color w:val="414042"/>
          <w:sz w:val="22"/>
          <w:szCs w:val="22"/>
          <w:lang w:val="en-US" w:eastAsia="en-US" w:bidi="en-US"/>
        </w:rPr>
      </w:pPr>
    </w:p>
    <w:p w14:paraId="5A908599" w14:textId="402AB78C" w:rsidR="00D5279A" w:rsidRDefault="00C6280D">
      <w:pPr>
        <w:pStyle w:val="HTMLPreformatted"/>
        <w:spacing w:line="312" w:lineRule="auto"/>
        <w:ind w:right="-22"/>
        <w:rPr>
          <w:rFonts w:ascii="Calibri" w:eastAsia="Avenir-Light" w:hAnsi="Calibri" w:cs="Calibri"/>
          <w:color w:val="414042"/>
          <w:sz w:val="22"/>
          <w:szCs w:val="22"/>
          <w:lang w:val="en-US" w:eastAsia="en-US" w:bidi="en-US"/>
        </w:rPr>
      </w:pPr>
      <w:r>
        <w:rPr>
          <w:rFonts w:ascii="Calibri" w:eastAsia="Avenir-Light" w:hAnsi="Calibri" w:cs="Calibri"/>
          <w:color w:val="414042"/>
          <w:sz w:val="22"/>
          <w:szCs w:val="22"/>
          <w:lang w:val="en-US" w:eastAsia="en-US" w:bidi="en-US"/>
        </w:rPr>
        <w:t>JSE website</w:t>
      </w:r>
      <w:r w:rsidR="007E771F">
        <w:rPr>
          <w:rFonts w:ascii="Calibri" w:eastAsia="Avenir-Light" w:hAnsi="Calibri" w:cs="Calibri"/>
          <w:color w:val="414042"/>
          <w:sz w:val="22"/>
          <w:szCs w:val="22"/>
          <w:lang w:val="en-US" w:eastAsia="en-US" w:bidi="en-US"/>
        </w:rPr>
        <w:t xml:space="preserve">: </w:t>
      </w:r>
      <w:hyperlink r:id="rId9" w:history="1">
        <w:r w:rsidR="007E771F" w:rsidRPr="002A3C57">
          <w:rPr>
            <w:rStyle w:val="Hyperlink"/>
            <w:rFonts w:ascii="Calibri" w:eastAsia="Avenir-Light" w:hAnsi="Calibri" w:cs="Calibri"/>
            <w:sz w:val="22"/>
            <w:szCs w:val="22"/>
            <w:lang w:val="en-US" w:eastAsia="en-US" w:bidi="en-US"/>
          </w:rPr>
          <w:t>https://senspdf.jse.co.za/documents/2023/jse/isse/sfn/H12023.pdf</w:t>
        </w:r>
      </w:hyperlink>
    </w:p>
    <w:p w14:paraId="4CD6168A" w14:textId="77777777" w:rsidR="007E771F" w:rsidRDefault="007E771F">
      <w:pPr>
        <w:pStyle w:val="HTMLPreformatted"/>
        <w:spacing w:line="312" w:lineRule="auto"/>
        <w:ind w:right="-22"/>
      </w:pPr>
    </w:p>
    <w:p w14:paraId="5A90859A" w14:textId="77777777" w:rsidR="00D5279A" w:rsidRDefault="00D5279A">
      <w:pPr>
        <w:pStyle w:val="HTMLPreformatted"/>
        <w:spacing w:line="312" w:lineRule="auto"/>
        <w:ind w:right="-22"/>
        <w:rPr>
          <w:rFonts w:ascii="Calibri" w:eastAsia="Avenir-Light" w:hAnsi="Calibri" w:cs="Calibri"/>
          <w:color w:val="414042"/>
          <w:sz w:val="22"/>
          <w:szCs w:val="22"/>
          <w:lang w:val="en-US" w:eastAsia="en-US" w:bidi="en-US"/>
        </w:rPr>
      </w:pPr>
    </w:p>
    <w:p w14:paraId="5A90859B" w14:textId="77777777" w:rsidR="00D5279A" w:rsidRDefault="00D5279A" w:rsidP="000E30DE">
      <w:pPr>
        <w:pageBreakBefore/>
        <w:widowControl/>
        <w:autoSpaceDE/>
        <w:spacing w:after="160" w:line="254" w:lineRule="auto"/>
        <w:rPr>
          <w:rFonts w:ascii="Calibri" w:hAnsi="Calibri" w:cs="Calibri"/>
          <w:color w:val="414042"/>
        </w:rPr>
      </w:pPr>
    </w:p>
    <w:p w14:paraId="5A90859C" w14:textId="77777777" w:rsidR="00D5279A" w:rsidRDefault="00C6280D">
      <w:pPr>
        <w:pStyle w:val="HTMLPreformatted"/>
        <w:spacing w:line="312" w:lineRule="auto"/>
        <w:ind w:right="-22"/>
        <w:jc w:val="both"/>
        <w:rPr>
          <w:rFonts w:ascii="Calibri" w:eastAsia="Avenir-Light" w:hAnsi="Calibri" w:cs="Calibri"/>
          <w:color w:val="414042"/>
          <w:sz w:val="22"/>
          <w:szCs w:val="22"/>
          <w:lang w:val="en-US" w:eastAsia="en-US" w:bidi="en-US"/>
        </w:rPr>
      </w:pPr>
      <w:r>
        <w:rPr>
          <w:rFonts w:ascii="Calibri" w:eastAsia="Avenir-Light" w:hAnsi="Calibri" w:cs="Calibri"/>
          <w:color w:val="414042"/>
          <w:sz w:val="22"/>
          <w:szCs w:val="22"/>
          <w:lang w:val="en-US" w:eastAsia="en-US" w:bidi="en-US"/>
        </w:rPr>
        <w:t>Any investment decision by investors and/or shareholders should be based on consideration of the full announcement, copies of which are also available for inspection at our offices and our sponsor’s offices on workdays during business hours, at no charge. Copies can also be requested from Sasfin’s company secretary at charissa.dejager@sasfin.com.</w:t>
      </w:r>
    </w:p>
    <w:p w14:paraId="5A90859D" w14:textId="77777777" w:rsidR="00D5279A" w:rsidRDefault="00D5279A">
      <w:pPr>
        <w:pStyle w:val="HTMLPreformatted"/>
        <w:spacing w:line="312" w:lineRule="auto"/>
        <w:ind w:right="-22"/>
        <w:rPr>
          <w:rFonts w:ascii="Calibri" w:eastAsia="Avenir-Light" w:hAnsi="Calibri" w:cs="Calibri"/>
          <w:color w:val="414042"/>
          <w:sz w:val="22"/>
          <w:szCs w:val="22"/>
          <w:lang w:val="en-US" w:eastAsia="en-US" w:bidi="en-US"/>
        </w:rPr>
      </w:pPr>
    </w:p>
    <w:p w14:paraId="5A90859E" w14:textId="77777777" w:rsidR="00D5279A" w:rsidRDefault="00D5279A">
      <w:pPr>
        <w:pStyle w:val="HTMLPreformatted"/>
        <w:spacing w:line="312" w:lineRule="auto"/>
        <w:ind w:right="-22"/>
        <w:rPr>
          <w:rFonts w:ascii="Calibri" w:eastAsia="Avenir-Light" w:hAnsi="Calibri" w:cs="Calibri"/>
          <w:color w:val="414042"/>
          <w:sz w:val="22"/>
          <w:szCs w:val="22"/>
          <w:lang w:val="en-US" w:eastAsia="en-US" w:bidi="en-US"/>
        </w:rPr>
      </w:pPr>
    </w:p>
    <w:p w14:paraId="5A90859F" w14:textId="77777777" w:rsidR="00D5279A" w:rsidRDefault="00C6280D">
      <w:pPr>
        <w:pStyle w:val="HTMLPreformatted"/>
        <w:spacing w:line="312" w:lineRule="auto"/>
        <w:ind w:right="-22"/>
        <w:rPr>
          <w:rFonts w:ascii="Calibri" w:eastAsia="Avenir-Light" w:hAnsi="Calibri" w:cs="Calibri"/>
          <w:color w:val="414042"/>
          <w:sz w:val="22"/>
          <w:szCs w:val="22"/>
          <w:lang w:val="en-US" w:eastAsia="en-US" w:bidi="en-US"/>
        </w:rPr>
      </w:pPr>
      <w:r>
        <w:rPr>
          <w:rFonts w:ascii="Calibri" w:eastAsia="Avenir-Light" w:hAnsi="Calibri" w:cs="Calibri"/>
          <w:color w:val="414042"/>
          <w:sz w:val="22"/>
          <w:szCs w:val="22"/>
          <w:lang w:val="en-US" w:eastAsia="en-US" w:bidi="en-US"/>
        </w:rPr>
        <w:t>On behalf of the Board</w:t>
      </w:r>
    </w:p>
    <w:p w14:paraId="5A9085A0" w14:textId="77777777" w:rsidR="00D5279A" w:rsidRDefault="00D5279A">
      <w:pPr>
        <w:pStyle w:val="HTMLPreformatted"/>
        <w:spacing w:line="312" w:lineRule="auto"/>
        <w:ind w:right="-22"/>
        <w:rPr>
          <w:rFonts w:ascii="Calibri" w:eastAsia="Avenir-Light" w:hAnsi="Calibri" w:cs="Calibri"/>
          <w:color w:val="414042"/>
          <w:sz w:val="22"/>
          <w:szCs w:val="22"/>
          <w:lang w:val="en-US" w:eastAsia="en-US" w:bidi="en-US"/>
        </w:rPr>
      </w:pPr>
    </w:p>
    <w:p w14:paraId="5A9085A5" w14:textId="77777777" w:rsidR="00D5279A" w:rsidRDefault="00D5279A">
      <w:pPr>
        <w:pStyle w:val="HTMLPreformatted"/>
        <w:spacing w:line="312" w:lineRule="auto"/>
        <w:ind w:right="-22"/>
        <w:rPr>
          <w:rFonts w:ascii="Calibri" w:eastAsia="Avenir-Light" w:hAnsi="Calibri" w:cs="Calibri"/>
          <w:color w:val="414042"/>
          <w:sz w:val="22"/>
          <w:szCs w:val="22"/>
          <w:lang w:val="en-US" w:eastAsia="en-US" w:bidi="en-US"/>
        </w:rPr>
      </w:pPr>
    </w:p>
    <w:p w14:paraId="5A9085A6" w14:textId="77777777" w:rsidR="00D5279A" w:rsidRDefault="00C6280D">
      <w:pPr>
        <w:pStyle w:val="HTMLPreformatted"/>
        <w:spacing w:line="312" w:lineRule="auto"/>
        <w:ind w:right="-22"/>
        <w:rPr>
          <w:rFonts w:ascii="Calibri" w:eastAsia="Avenir-Light" w:hAnsi="Calibri" w:cs="Calibri"/>
          <w:color w:val="414042"/>
          <w:sz w:val="22"/>
          <w:szCs w:val="22"/>
          <w:lang w:val="en-US" w:eastAsia="en-US" w:bidi="en-US"/>
        </w:rPr>
      </w:pPr>
      <w:r>
        <w:rPr>
          <w:rFonts w:ascii="Calibri" w:eastAsia="Avenir-Light" w:hAnsi="Calibri" w:cs="Calibri"/>
          <w:color w:val="414042"/>
          <w:sz w:val="22"/>
          <w:szCs w:val="22"/>
          <w:lang w:val="en-US" w:eastAsia="en-US" w:bidi="en-US"/>
        </w:rPr>
        <w:t>Johannesburg</w:t>
      </w:r>
    </w:p>
    <w:p w14:paraId="5A9085A7" w14:textId="5A2FA5A6" w:rsidR="00D5279A" w:rsidRDefault="007E771F">
      <w:pPr>
        <w:pStyle w:val="HTMLPreformatted"/>
        <w:spacing w:line="312" w:lineRule="auto"/>
        <w:ind w:right="-22"/>
      </w:pPr>
      <w:r w:rsidRPr="007E771F">
        <w:rPr>
          <w:rFonts w:ascii="Calibri" w:eastAsia="Avenir-Light" w:hAnsi="Calibri" w:cs="Calibri"/>
          <w:color w:val="414042"/>
          <w:sz w:val="22"/>
          <w:szCs w:val="22"/>
          <w:lang w:val="en-US" w:eastAsia="en-US" w:bidi="en-US"/>
        </w:rPr>
        <w:t xml:space="preserve">2 </w:t>
      </w:r>
      <w:r w:rsidR="00C6280D" w:rsidRPr="007E771F">
        <w:rPr>
          <w:rFonts w:ascii="Calibri" w:eastAsia="Avenir-Light" w:hAnsi="Calibri" w:cs="Calibri"/>
          <w:color w:val="414042"/>
          <w:sz w:val="22"/>
          <w:szCs w:val="22"/>
          <w:lang w:val="en-US" w:eastAsia="en-US" w:bidi="en-US"/>
        </w:rPr>
        <w:t>March 2023</w:t>
      </w:r>
    </w:p>
    <w:p w14:paraId="5A9085A8" w14:textId="77777777" w:rsidR="00D5279A" w:rsidRDefault="00D5279A">
      <w:pPr>
        <w:pStyle w:val="HTMLPreformatted"/>
        <w:spacing w:line="312" w:lineRule="auto"/>
        <w:ind w:right="-22"/>
        <w:rPr>
          <w:rFonts w:ascii="Calibri" w:eastAsia="Avenir-Light" w:hAnsi="Calibri" w:cs="Calibri"/>
          <w:color w:val="414042"/>
          <w:sz w:val="22"/>
          <w:szCs w:val="22"/>
          <w:lang w:val="en-US" w:eastAsia="en-US" w:bidi="en-US"/>
        </w:rPr>
      </w:pPr>
    </w:p>
    <w:p w14:paraId="5A9085A9" w14:textId="77777777" w:rsidR="00D5279A" w:rsidRDefault="00C6280D">
      <w:pPr>
        <w:pStyle w:val="HTMLPreformatted"/>
        <w:spacing w:line="312" w:lineRule="auto"/>
        <w:ind w:right="-22"/>
        <w:rPr>
          <w:rFonts w:ascii="Calibri" w:eastAsia="Avenir-Light" w:hAnsi="Calibri" w:cs="Calibri"/>
          <w:color w:val="414042"/>
          <w:sz w:val="22"/>
          <w:szCs w:val="22"/>
          <w:lang w:val="en-US" w:eastAsia="en-US" w:bidi="en-US"/>
        </w:rPr>
      </w:pPr>
      <w:r>
        <w:rPr>
          <w:rFonts w:ascii="Calibri" w:eastAsia="Avenir-Light" w:hAnsi="Calibri" w:cs="Calibri"/>
          <w:color w:val="414042"/>
          <w:sz w:val="22"/>
          <w:szCs w:val="22"/>
          <w:lang w:val="en-US" w:eastAsia="en-US" w:bidi="en-US"/>
        </w:rPr>
        <w:t>Sponsor: Questco Corporate Advisory Proprietary Limited</w:t>
      </w:r>
    </w:p>
    <w:p w14:paraId="5A9085AA" w14:textId="77777777" w:rsidR="00D5279A" w:rsidRDefault="00D5279A">
      <w:pPr>
        <w:pStyle w:val="BodyText"/>
        <w:spacing w:line="312" w:lineRule="auto"/>
        <w:ind w:right="-22"/>
        <w:rPr>
          <w:rFonts w:ascii="Calibri" w:hAnsi="Calibri" w:cs="Calibri"/>
          <w:color w:val="414042"/>
          <w:sz w:val="22"/>
          <w:szCs w:val="22"/>
          <w:shd w:val="clear" w:color="auto" w:fill="FFFF00"/>
        </w:rPr>
      </w:pPr>
    </w:p>
    <w:p w14:paraId="5A9085AB" w14:textId="77777777" w:rsidR="00D5279A" w:rsidRDefault="00D5279A">
      <w:pPr>
        <w:pStyle w:val="BodyText"/>
        <w:spacing w:line="312" w:lineRule="auto"/>
        <w:ind w:right="-22"/>
        <w:rPr>
          <w:rFonts w:ascii="Calibri" w:hAnsi="Calibri" w:cs="Calibri"/>
          <w:color w:val="414042"/>
          <w:sz w:val="22"/>
          <w:szCs w:val="22"/>
        </w:rPr>
      </w:pPr>
    </w:p>
    <w:p w14:paraId="5A9085AC" w14:textId="77777777" w:rsidR="00D5279A" w:rsidRDefault="00D5279A">
      <w:pPr>
        <w:pStyle w:val="BodyText"/>
        <w:spacing w:line="312" w:lineRule="auto"/>
        <w:ind w:right="-22"/>
        <w:rPr>
          <w:rFonts w:ascii="Calibri" w:hAnsi="Calibri" w:cs="Calibri"/>
          <w:color w:val="414042"/>
          <w:sz w:val="22"/>
          <w:szCs w:val="22"/>
        </w:rPr>
      </w:pPr>
    </w:p>
    <w:p w14:paraId="5A9085AD" w14:textId="77777777" w:rsidR="00D5279A" w:rsidRDefault="00D5279A">
      <w:pPr>
        <w:pStyle w:val="BodyText"/>
        <w:spacing w:line="312" w:lineRule="auto"/>
        <w:ind w:right="-22"/>
        <w:rPr>
          <w:rFonts w:ascii="Calibri" w:hAnsi="Calibri" w:cs="Calibri"/>
          <w:color w:val="414042"/>
          <w:sz w:val="22"/>
          <w:szCs w:val="22"/>
        </w:rPr>
      </w:pPr>
    </w:p>
    <w:p w14:paraId="5A9085AE" w14:textId="77777777" w:rsidR="00D5279A" w:rsidRDefault="00D5279A">
      <w:pPr>
        <w:rPr>
          <w:rFonts w:ascii="Calibri" w:hAnsi="Calibri" w:cs="Calibri"/>
        </w:rPr>
      </w:pPr>
    </w:p>
    <w:sectPr w:rsidR="00D5279A">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267D" w14:textId="77777777" w:rsidR="003C47ED" w:rsidRDefault="003C47ED">
      <w:r>
        <w:separator/>
      </w:r>
    </w:p>
  </w:endnote>
  <w:endnote w:type="continuationSeparator" w:id="0">
    <w:p w14:paraId="317D58BD" w14:textId="77777777" w:rsidR="003C47ED" w:rsidRDefault="003C47ED">
      <w:r>
        <w:continuationSeparator/>
      </w:r>
    </w:p>
  </w:endnote>
  <w:endnote w:type="continuationNotice" w:id="1">
    <w:p w14:paraId="1FC6194A" w14:textId="77777777" w:rsidR="003C47ED" w:rsidRDefault="003C4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Light">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C550" w14:textId="77777777" w:rsidR="00C6280D" w:rsidRDefault="00C62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BC6D" w14:textId="77777777" w:rsidR="003C47ED" w:rsidRDefault="003C47ED">
      <w:r>
        <w:rPr>
          <w:color w:val="000000"/>
        </w:rPr>
        <w:separator/>
      </w:r>
    </w:p>
  </w:footnote>
  <w:footnote w:type="continuationSeparator" w:id="0">
    <w:p w14:paraId="7E3F2E58" w14:textId="77777777" w:rsidR="003C47ED" w:rsidRDefault="003C47ED">
      <w:r>
        <w:continuationSeparator/>
      </w:r>
    </w:p>
  </w:footnote>
  <w:footnote w:type="continuationNotice" w:id="1">
    <w:p w14:paraId="6B9E8ADE" w14:textId="77777777" w:rsidR="003C47ED" w:rsidRDefault="003C4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912C" w14:textId="77777777" w:rsidR="00C6280D" w:rsidRDefault="00C62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47D5"/>
    <w:multiLevelType w:val="multilevel"/>
    <w:tmpl w:val="F1B2BCFA"/>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15:restartNumberingAfterBreak="0">
    <w:nsid w:val="33D4063A"/>
    <w:multiLevelType w:val="multilevel"/>
    <w:tmpl w:val="1858340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num w:numId="1" w16cid:durableId="1937208842">
    <w:abstractNumId w:val="1"/>
  </w:num>
  <w:num w:numId="2" w16cid:durableId="637806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79A"/>
    <w:rsid w:val="000E30DE"/>
    <w:rsid w:val="0015093D"/>
    <w:rsid w:val="0017670C"/>
    <w:rsid w:val="00196BB9"/>
    <w:rsid w:val="0021579D"/>
    <w:rsid w:val="00237BBF"/>
    <w:rsid w:val="00274854"/>
    <w:rsid w:val="002D6766"/>
    <w:rsid w:val="00317322"/>
    <w:rsid w:val="0034200C"/>
    <w:rsid w:val="003C47ED"/>
    <w:rsid w:val="004B609B"/>
    <w:rsid w:val="005336BD"/>
    <w:rsid w:val="00687D6B"/>
    <w:rsid w:val="0069326A"/>
    <w:rsid w:val="006D46C7"/>
    <w:rsid w:val="007044FC"/>
    <w:rsid w:val="00785DA7"/>
    <w:rsid w:val="007C7FA7"/>
    <w:rsid w:val="007E771F"/>
    <w:rsid w:val="00837AB3"/>
    <w:rsid w:val="00965C5C"/>
    <w:rsid w:val="00A11B29"/>
    <w:rsid w:val="00A95E6A"/>
    <w:rsid w:val="00C6280D"/>
    <w:rsid w:val="00CD607D"/>
    <w:rsid w:val="00D5279A"/>
    <w:rsid w:val="00DA1911"/>
    <w:rsid w:val="00DC0FF7"/>
    <w:rsid w:val="00DC3318"/>
    <w:rsid w:val="00DF6241"/>
    <w:rsid w:val="00E64366"/>
    <w:rsid w:val="00E826F4"/>
    <w:rsid w:val="00EF75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850E"/>
  <w15:docId w15:val="{FAFAB885-9666-49EE-A361-37852067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rFonts w:ascii="Avenir-Light" w:eastAsia="Avenir-Light" w:hAnsi="Avenir-Light" w:cs="Avenir-Ligh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Times New Roman" w:hAnsi="Courier New" w:cs="Courier New"/>
      <w:sz w:val="20"/>
      <w:szCs w:val="20"/>
      <w:lang w:val="en-ZA" w:eastAsia="en-ZA" w:bidi="ar-SA"/>
    </w:rPr>
  </w:style>
  <w:style w:type="character" w:customStyle="1" w:styleId="HTMLPreformattedChar">
    <w:name w:val="HTML Preformatted Char"/>
    <w:basedOn w:val="DefaultParagraphFont"/>
    <w:rPr>
      <w:rFonts w:ascii="Courier New" w:eastAsia="Times New Roman" w:hAnsi="Courier New" w:cs="Courier New"/>
      <w:sz w:val="20"/>
      <w:szCs w:val="20"/>
      <w:lang w:val="en-ZA" w:eastAsia="en-ZA"/>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venir-Light" w:eastAsia="Avenir-Light" w:hAnsi="Avenir-Light" w:cs="Avenir-Light"/>
      <w:sz w:val="20"/>
      <w:szCs w:val="20"/>
      <w:lang w:bidi="en-US"/>
    </w:rPr>
  </w:style>
  <w:style w:type="paragraph" w:styleId="BodyText">
    <w:name w:val="Body Text"/>
    <w:basedOn w:val="Normal"/>
    <w:rPr>
      <w:sz w:val="14"/>
      <w:szCs w:val="14"/>
    </w:rPr>
  </w:style>
  <w:style w:type="character" w:customStyle="1" w:styleId="BodyTextChar">
    <w:name w:val="Body Text Char"/>
    <w:basedOn w:val="DefaultParagraphFont"/>
    <w:rPr>
      <w:rFonts w:ascii="Avenir-Light" w:eastAsia="Avenir-Light" w:hAnsi="Avenir-Light" w:cs="Avenir-Light"/>
      <w:sz w:val="14"/>
      <w:szCs w:val="14"/>
      <w:lang w:bidi="en-US"/>
    </w:rPr>
  </w:style>
  <w:style w:type="paragraph" w:styleId="ListParagraph">
    <w:name w:val="List Paragraph"/>
    <w:basedOn w:val="Normal"/>
    <w:pPr>
      <w:spacing w:line="180" w:lineRule="exact"/>
      <w:ind w:left="600" w:hanging="170"/>
    </w:pPr>
  </w:style>
  <w:style w:type="character" w:styleId="CommentReference">
    <w:name w:val="annotation reference"/>
    <w:basedOn w:val="DefaultParagraphFont"/>
    <w:rPr>
      <w:sz w:val="16"/>
      <w:szCs w:val="16"/>
    </w:rPr>
  </w:style>
  <w:style w:type="character" w:styleId="UnresolvedMention">
    <w:name w:val="Unresolved Mention"/>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venir-Light" w:eastAsia="Avenir-Light" w:hAnsi="Avenir-Light" w:cs="Avenir-Light"/>
      <w:b/>
      <w:bCs/>
      <w:sz w:val="20"/>
      <w:szCs w:val="20"/>
      <w:lang w:bidi="en-US"/>
    </w:rPr>
  </w:style>
  <w:style w:type="character" w:styleId="FollowedHyperlink">
    <w:name w:val="FollowedHyperlink"/>
    <w:basedOn w:val="DefaultParagraphFont"/>
    <w:rPr>
      <w:color w:val="954F72"/>
      <w:u w:val="single"/>
    </w:rPr>
  </w:style>
  <w:style w:type="paragraph" w:styleId="Revision">
    <w:name w:val="Revision"/>
    <w:pPr>
      <w:suppressAutoHyphens/>
      <w:spacing w:after="0" w:line="240" w:lineRule="auto"/>
    </w:pPr>
    <w:rPr>
      <w:rFonts w:ascii="Avenir-Light" w:eastAsia="Avenir-Light" w:hAnsi="Avenir-Light" w:cs="Avenir-Light"/>
      <w:lang w:bidi="en-US"/>
    </w:rPr>
  </w:style>
  <w:style w:type="paragraph" w:customStyle="1" w:styleId="BodyCopy">
    <w:name w:val="Body Copy"/>
    <w:basedOn w:val="Normal"/>
    <w:pPr>
      <w:widowControl/>
      <w:spacing w:before="160" w:after="160"/>
      <w:textAlignment w:val="center"/>
    </w:pPr>
    <w:rPr>
      <w:rFonts w:ascii="Arial" w:eastAsia="Calibri" w:hAnsi="Arial" w:cs="Arial"/>
      <w:color w:val="191919"/>
      <w:sz w:val="20"/>
      <w:szCs w:val="20"/>
      <w:lang w:val="en-GB" w:bidi="ar-SA"/>
    </w:rPr>
  </w:style>
  <w:style w:type="character" w:customStyle="1" w:styleId="BodyCopyChar">
    <w:name w:val="Body Copy Char"/>
    <w:basedOn w:val="DefaultParagraphFont"/>
    <w:rPr>
      <w:rFonts w:ascii="Arial" w:hAnsi="Arial" w:cs="Arial"/>
      <w:color w:val="191919"/>
      <w:sz w:val="20"/>
      <w:szCs w:val="20"/>
      <w:lang w:val="en-GB"/>
    </w:rPr>
  </w:style>
  <w:style w:type="paragraph" w:styleId="Header">
    <w:name w:val="header"/>
    <w:basedOn w:val="Normal"/>
    <w:link w:val="HeaderChar"/>
    <w:uiPriority w:val="99"/>
    <w:unhideWhenUsed/>
    <w:rsid w:val="00C6280D"/>
    <w:pPr>
      <w:tabs>
        <w:tab w:val="center" w:pos="4513"/>
        <w:tab w:val="right" w:pos="9026"/>
      </w:tabs>
    </w:pPr>
  </w:style>
  <w:style w:type="character" w:customStyle="1" w:styleId="HeaderChar">
    <w:name w:val="Header Char"/>
    <w:basedOn w:val="DefaultParagraphFont"/>
    <w:link w:val="Header"/>
    <w:uiPriority w:val="99"/>
    <w:rsid w:val="00C6280D"/>
    <w:rPr>
      <w:rFonts w:ascii="Avenir-Light" w:eastAsia="Avenir-Light" w:hAnsi="Avenir-Light" w:cs="Avenir-Light"/>
      <w:lang w:bidi="en-US"/>
    </w:rPr>
  </w:style>
  <w:style w:type="paragraph" w:styleId="Footer">
    <w:name w:val="footer"/>
    <w:basedOn w:val="Normal"/>
    <w:link w:val="FooterChar"/>
    <w:uiPriority w:val="99"/>
    <w:unhideWhenUsed/>
    <w:rsid w:val="00C6280D"/>
    <w:pPr>
      <w:tabs>
        <w:tab w:val="center" w:pos="4513"/>
        <w:tab w:val="right" w:pos="9026"/>
      </w:tabs>
    </w:pPr>
  </w:style>
  <w:style w:type="character" w:customStyle="1" w:styleId="FooterChar">
    <w:name w:val="Footer Char"/>
    <w:basedOn w:val="DefaultParagraphFont"/>
    <w:link w:val="Footer"/>
    <w:uiPriority w:val="99"/>
    <w:rsid w:val="00C6280D"/>
    <w:rPr>
      <w:rFonts w:ascii="Avenir-Light" w:eastAsia="Avenir-Light" w:hAnsi="Avenir-Light" w:cs="Avenir-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sfin.com/investor-rel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nspdf.jse.co.za/documents/2023/jse/isse/sfn/H1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7694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Brainin</dc:creator>
  <dc:description/>
  <cp:lastModifiedBy>Charissa De Jager</cp:lastModifiedBy>
  <cp:revision>2</cp:revision>
  <cp:lastPrinted>2023-02-16T17:57:00Z</cp:lastPrinted>
  <dcterms:created xsi:type="dcterms:W3CDTF">2023-03-02T06:20:00Z</dcterms:created>
  <dcterms:modified xsi:type="dcterms:W3CDTF">2023-03-02T06:20:00Z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0x010100072F4A00F79395449CF88A725EBAC62E</vt:lpwstr>
  </property>
  <property fmtid="{D5CDD505-2E9C-101B-9397-08002B2CF9AE}" pid="3" name="_dlc_DocIdItemGuid">
    <vt:lpwstr>e41c6578-db84-458e-9e17-62366a2e3805</vt:lpwstr>
  </property>
</Properties>
</file>